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40" w:rsidRDefault="002C3840" w:rsidP="002C3840"/>
    <w:p w:rsidR="00C4747D" w:rsidRDefault="00C4747D" w:rsidP="002C3840">
      <w:pPr>
        <w:jc w:val="center"/>
        <w:rPr>
          <w:b/>
          <w:sz w:val="28"/>
          <w:szCs w:val="28"/>
        </w:rPr>
      </w:pPr>
      <w:r w:rsidRPr="003B5FEC">
        <w:rPr>
          <w:b/>
          <w:sz w:val="28"/>
          <w:szCs w:val="28"/>
        </w:rPr>
        <w:t>CESSIONE DI AZIENDA</w:t>
      </w:r>
    </w:p>
    <w:p w:rsidR="00480FB9" w:rsidRPr="003B5FEC" w:rsidRDefault="00480FB9" w:rsidP="00C4747D">
      <w:pPr>
        <w:jc w:val="center"/>
        <w:rPr>
          <w:b/>
          <w:sz w:val="28"/>
          <w:szCs w:val="28"/>
        </w:rPr>
      </w:pPr>
    </w:p>
    <w:p w:rsidR="00C4747D" w:rsidRPr="005A7E30" w:rsidRDefault="00C4747D" w:rsidP="00C4747D">
      <w:pPr>
        <w:rPr>
          <w:b/>
        </w:rPr>
      </w:pPr>
      <w:r w:rsidRPr="005A7E30">
        <w:rPr>
          <w:b/>
        </w:rPr>
        <w:t>IMPOSIZIONE DIRETTA: IRPEF/IRES</w:t>
      </w:r>
    </w:p>
    <w:p w:rsidR="00C4747D" w:rsidRPr="00AB2997" w:rsidRDefault="00C4747D" w:rsidP="00C4747D">
      <w:pPr>
        <w:rPr>
          <w:i/>
        </w:rPr>
      </w:pPr>
      <w:r w:rsidRPr="00AB2997">
        <w:rPr>
          <w:i/>
        </w:rPr>
        <w:t>Riferimenti normativi:</w:t>
      </w:r>
    </w:p>
    <w:p w:rsidR="00C4747D" w:rsidRPr="007F72A9" w:rsidRDefault="00C4747D" w:rsidP="00C4747D">
      <w:r w:rsidRPr="007F72A9">
        <w:t>Art. 58, TUIR – Plusvalenze [</w:t>
      </w:r>
      <w:r w:rsidR="00CF2347" w:rsidRPr="007F72A9">
        <w:t xml:space="preserve"> </w:t>
      </w:r>
      <w:r w:rsidRPr="007F72A9">
        <w:t>IRPEF</w:t>
      </w:r>
      <w:r w:rsidR="00CF2347" w:rsidRPr="007F72A9">
        <w:t xml:space="preserve"> </w:t>
      </w:r>
      <w:r w:rsidRPr="007F72A9">
        <w:t>]</w:t>
      </w:r>
    </w:p>
    <w:p w:rsidR="00C4747D" w:rsidRPr="007F72A9" w:rsidRDefault="00C4747D" w:rsidP="00C4747D">
      <w:pPr>
        <w:rPr>
          <w:i/>
        </w:rPr>
      </w:pPr>
      <w:r w:rsidRPr="007F72A9">
        <w:t>Art. 86, TUIR – Plusvalenze patrimoniali [</w:t>
      </w:r>
      <w:r w:rsidR="00CF2347" w:rsidRPr="007F72A9">
        <w:t xml:space="preserve"> </w:t>
      </w:r>
      <w:r w:rsidRPr="007F72A9">
        <w:t>IRES</w:t>
      </w:r>
      <w:r w:rsidR="00CF2347" w:rsidRPr="007F72A9">
        <w:t xml:space="preserve"> </w:t>
      </w:r>
      <w:r w:rsidRPr="007F72A9">
        <w:t>]</w:t>
      </w:r>
    </w:p>
    <w:p w:rsidR="00AD7AAA" w:rsidRPr="007F72A9" w:rsidRDefault="00AD7AAA" w:rsidP="00AD7AAA"/>
    <w:p w:rsidR="00ED6EC3" w:rsidRPr="00E56253" w:rsidRDefault="005A7E30" w:rsidP="00AD7AAA">
      <w:pPr>
        <w:rPr>
          <w:u w:val="single"/>
        </w:rPr>
      </w:pPr>
      <w:r w:rsidRPr="00E56253">
        <w:rPr>
          <w:u w:val="single"/>
        </w:rPr>
        <w:t>Definizione di azienda</w:t>
      </w:r>
      <w:r w:rsidR="006E2A8B">
        <w:rPr>
          <w:u w:val="single"/>
        </w:rPr>
        <w:t xml:space="preserve"> [Art. 2555 c.c.</w:t>
      </w:r>
      <w:r w:rsidR="00CF2347">
        <w:rPr>
          <w:u w:val="single"/>
        </w:rPr>
        <w:t>]</w:t>
      </w:r>
    </w:p>
    <w:p w:rsidR="00ED6EC3" w:rsidRDefault="00AD7AAA" w:rsidP="007374CB">
      <w:pPr>
        <w:pStyle w:val="Paragrafoelenco"/>
        <w:numPr>
          <w:ilvl w:val="0"/>
          <w:numId w:val="8"/>
        </w:numPr>
      </w:pPr>
      <w:r>
        <w:t>Complesso dei beni organizzati dall'imprenditore per l'esercizio dell'impresa.</w:t>
      </w:r>
    </w:p>
    <w:p w:rsidR="005C368F" w:rsidRDefault="005C368F" w:rsidP="005C368F"/>
    <w:p w:rsidR="007374CB" w:rsidRPr="00E56253" w:rsidRDefault="00AD7AAA" w:rsidP="007374CB">
      <w:pPr>
        <w:rPr>
          <w:u w:val="single"/>
        </w:rPr>
      </w:pPr>
      <w:r w:rsidRPr="00E56253">
        <w:rPr>
          <w:u w:val="single"/>
        </w:rPr>
        <w:t>Contratto di cessione di azienda o ramo di azienda</w:t>
      </w:r>
    </w:p>
    <w:p w:rsidR="007374CB" w:rsidRDefault="002D77DA" w:rsidP="007374CB">
      <w:pPr>
        <w:pStyle w:val="Paragrafoelenco"/>
        <w:numPr>
          <w:ilvl w:val="0"/>
          <w:numId w:val="8"/>
        </w:numPr>
      </w:pPr>
      <w:r w:rsidRPr="005C77A5">
        <w:t>Diverso rispetto alle cessioni singole</w:t>
      </w:r>
      <w:r w:rsidR="00B974FF">
        <w:t>.</w:t>
      </w:r>
    </w:p>
    <w:p w:rsidR="007374CB" w:rsidRDefault="002D77DA" w:rsidP="007374CB">
      <w:pPr>
        <w:pStyle w:val="Paragrafoelenco"/>
        <w:numPr>
          <w:ilvl w:val="0"/>
          <w:numId w:val="8"/>
        </w:numPr>
      </w:pPr>
      <w:r w:rsidRPr="005C77A5">
        <w:t>Diverso dalle c</w:t>
      </w:r>
      <w:r w:rsidR="00AD7AAA">
        <w:t>essioni di una pluralità di beni</w:t>
      </w:r>
      <w:r w:rsidR="00B974FF">
        <w:t>.</w:t>
      </w:r>
    </w:p>
    <w:p w:rsidR="00AD7AAA" w:rsidRDefault="00AD7AAA" w:rsidP="006514BB">
      <w:pPr>
        <w:pStyle w:val="Paragrafoelenco"/>
        <w:numPr>
          <w:ilvl w:val="0"/>
          <w:numId w:val="8"/>
        </w:numPr>
      </w:pPr>
      <w:r>
        <w:t>Non è necessaria l’i</w:t>
      </w:r>
      <w:r w:rsidR="002D77DA" w:rsidRPr="005C77A5">
        <w:t>ndividuazione dei b</w:t>
      </w:r>
      <w:r>
        <w:t>eni nel contratto</w:t>
      </w:r>
      <w:r w:rsidR="00AE2B2C">
        <w:t xml:space="preserve"> (utile il riferimento per </w:t>
      </w:r>
      <w:r w:rsidR="006514BB">
        <w:t xml:space="preserve">beni mobili registrati, </w:t>
      </w:r>
      <w:r w:rsidR="00AE2B2C">
        <w:t>beni immobili</w:t>
      </w:r>
      <w:r w:rsidR="006514BB">
        <w:t xml:space="preserve">, marchi e brevetti </w:t>
      </w:r>
      <w:r w:rsidR="006514BB" w:rsidRPr="006514BB">
        <w:rPr>
          <w:color w:val="000000"/>
          <w:sz w:val="23"/>
          <w:szCs w:val="23"/>
        </w:rPr>
        <w:t>per l'espletamento delle formalità di pubblicità</w:t>
      </w:r>
      <w:r w:rsidR="00AE2B2C">
        <w:t>)</w:t>
      </w:r>
      <w:r w:rsidR="00B974FF">
        <w:t>.</w:t>
      </w:r>
    </w:p>
    <w:p w:rsidR="00472021" w:rsidRDefault="00472021" w:rsidP="005C368F"/>
    <w:p w:rsidR="00472021" w:rsidRDefault="00472021" w:rsidP="005C368F">
      <w:pPr>
        <w:rPr>
          <w:u w:val="single"/>
        </w:rPr>
      </w:pPr>
      <w:r w:rsidRPr="00D7719D">
        <w:rPr>
          <w:u w:val="single"/>
        </w:rPr>
        <w:t>Casistica:</w:t>
      </w:r>
    </w:p>
    <w:p w:rsidR="002C3840" w:rsidRPr="00D7719D" w:rsidRDefault="002C3840" w:rsidP="005C368F">
      <w:pPr>
        <w:rPr>
          <w:u w:val="single"/>
        </w:rPr>
      </w:pPr>
    </w:p>
    <w:tbl>
      <w:tblPr>
        <w:tblStyle w:val="Grigliatabella"/>
        <w:tblW w:w="0" w:type="auto"/>
        <w:tblLook w:val="04A0"/>
      </w:tblPr>
      <w:tblGrid>
        <w:gridCol w:w="2672"/>
        <w:gridCol w:w="6895"/>
      </w:tblGrid>
      <w:tr w:rsidR="00472021" w:rsidRPr="005A7E30" w:rsidTr="00472021">
        <w:trPr>
          <w:trHeight w:val="757"/>
        </w:trPr>
        <w:tc>
          <w:tcPr>
            <w:tcW w:w="2672" w:type="dxa"/>
          </w:tcPr>
          <w:p w:rsidR="00565E03" w:rsidRPr="00565E03" w:rsidRDefault="00472021" w:rsidP="002125C8">
            <w:pPr>
              <w:rPr>
                <w:lang w:val="en-US"/>
              </w:rPr>
            </w:pPr>
            <w:r w:rsidRPr="00565E03">
              <w:rPr>
                <w:lang w:val="en-US"/>
              </w:rPr>
              <w:t>Cass. 30/01/2007, n. 1913</w:t>
            </w:r>
          </w:p>
          <w:p w:rsidR="00472021" w:rsidRPr="00565E03" w:rsidRDefault="00472021" w:rsidP="00565E03">
            <w:pPr>
              <w:ind w:firstLine="708"/>
              <w:rPr>
                <w:lang w:val="en-US"/>
              </w:rPr>
            </w:pPr>
          </w:p>
        </w:tc>
        <w:tc>
          <w:tcPr>
            <w:tcW w:w="6895" w:type="dxa"/>
          </w:tcPr>
          <w:p w:rsidR="00472021" w:rsidRPr="005A7E30" w:rsidRDefault="00472021" w:rsidP="002125C8">
            <w:r w:rsidRPr="005A7E30">
              <w:t>Cessione albergo qualificata come cession</w:t>
            </w:r>
            <w:r>
              <w:t>e</w:t>
            </w:r>
            <w:r w:rsidRPr="005A7E30">
              <w:t xml:space="preserve"> </w:t>
            </w:r>
            <w:r>
              <w:t>i</w:t>
            </w:r>
            <w:r w:rsidRPr="005A7E30">
              <w:t xml:space="preserve">mmobiliare in assenza di </w:t>
            </w:r>
            <w:r>
              <w:t>“</w:t>
            </w:r>
            <w:r w:rsidRPr="005A7E30">
              <w:t>trasfer</w:t>
            </w:r>
            <w:r>
              <w:t>i</w:t>
            </w:r>
            <w:r w:rsidRPr="005A7E30">
              <w:t>mento</w:t>
            </w:r>
            <w:r>
              <w:t>”</w:t>
            </w:r>
            <w:r w:rsidRPr="005A7E30">
              <w:t xml:space="preserve"> di </w:t>
            </w:r>
            <w:r>
              <w:t>personale e di attrezzature/arredi/impianti.</w:t>
            </w:r>
          </w:p>
        </w:tc>
      </w:tr>
      <w:tr w:rsidR="00472021" w:rsidRPr="005A7E30" w:rsidTr="00472021">
        <w:trPr>
          <w:trHeight w:val="757"/>
        </w:trPr>
        <w:tc>
          <w:tcPr>
            <w:tcW w:w="2672" w:type="dxa"/>
          </w:tcPr>
          <w:p w:rsidR="00472021" w:rsidRPr="00565E03" w:rsidRDefault="00472021" w:rsidP="002125C8">
            <w:r w:rsidRPr="00565E03">
              <w:t>Cass. 08/05/2013, n. 10740</w:t>
            </w:r>
          </w:p>
          <w:p w:rsidR="00472021" w:rsidRPr="00565E03" w:rsidRDefault="00472021" w:rsidP="002125C8">
            <w:r w:rsidRPr="00565E03">
              <w:t>Cass. 11/06/2007, n. 13580</w:t>
            </w:r>
          </w:p>
        </w:tc>
        <w:tc>
          <w:tcPr>
            <w:tcW w:w="6895" w:type="dxa"/>
          </w:tcPr>
          <w:p w:rsidR="00472021" w:rsidRPr="005A7E30" w:rsidRDefault="00D803C2" w:rsidP="002125C8">
            <w:r>
              <w:t>Si ha c</w:t>
            </w:r>
            <w:r w:rsidR="00D7719D">
              <w:t>essione di azienda se i beni presentano carattere di unitaria funzionalità</w:t>
            </w:r>
            <w:r w:rsidR="00565E03">
              <w:t>.</w:t>
            </w:r>
            <w:r w:rsidR="00D7719D">
              <w:t xml:space="preserve"> </w:t>
            </w:r>
          </w:p>
        </w:tc>
      </w:tr>
      <w:tr w:rsidR="00472021" w:rsidRPr="005A7E30" w:rsidTr="00472021">
        <w:trPr>
          <w:trHeight w:val="757"/>
        </w:trPr>
        <w:tc>
          <w:tcPr>
            <w:tcW w:w="2672" w:type="dxa"/>
          </w:tcPr>
          <w:p w:rsidR="00472021" w:rsidRPr="00565E03" w:rsidRDefault="00D7719D" w:rsidP="002125C8">
            <w:r w:rsidRPr="00565E03">
              <w:t>Ris. Min. 30/06/1990, n. 550245</w:t>
            </w:r>
          </w:p>
        </w:tc>
        <w:tc>
          <w:tcPr>
            <w:tcW w:w="6895" w:type="dxa"/>
          </w:tcPr>
          <w:p w:rsidR="00472021" w:rsidRPr="005A7E30" w:rsidRDefault="00D7719D" w:rsidP="002125C8">
            <w:r>
              <w:t>Nella cessione</w:t>
            </w:r>
            <w:r w:rsidR="00D803C2">
              <w:t xml:space="preserve"> di azienda sono</w:t>
            </w:r>
            <w:r>
              <w:t xml:space="preserve"> irrilevanti le</w:t>
            </w:r>
            <w:r w:rsidR="00A10079">
              <w:t xml:space="preserve"> finalità dell’operazione, </w:t>
            </w:r>
            <w:r>
              <w:t>nonché la destinazione assegnata ai beni acquistati</w:t>
            </w:r>
            <w:r w:rsidR="00565E03">
              <w:t>.</w:t>
            </w:r>
          </w:p>
        </w:tc>
      </w:tr>
      <w:tr w:rsidR="00472021" w:rsidRPr="005A7E30" w:rsidTr="00472021">
        <w:trPr>
          <w:trHeight w:val="757"/>
        </w:trPr>
        <w:tc>
          <w:tcPr>
            <w:tcW w:w="2672" w:type="dxa"/>
          </w:tcPr>
          <w:p w:rsidR="00472021" w:rsidRPr="00565E03" w:rsidRDefault="00233D94" w:rsidP="002125C8">
            <w:r w:rsidRPr="00565E03">
              <w:t>Cass. 23/01/1990, n. 353</w:t>
            </w:r>
          </w:p>
          <w:p w:rsidR="00233D94" w:rsidRPr="00565E03" w:rsidRDefault="00233D94" w:rsidP="002125C8">
            <w:r w:rsidRPr="00565E03">
              <w:t>Cass. 01/09/1997, n. 8300</w:t>
            </w:r>
          </w:p>
        </w:tc>
        <w:tc>
          <w:tcPr>
            <w:tcW w:w="6895" w:type="dxa"/>
          </w:tcPr>
          <w:p w:rsidR="00472021" w:rsidRPr="005A7E30" w:rsidRDefault="00233D94" w:rsidP="002125C8">
            <w:r>
              <w:t xml:space="preserve">Cessione </w:t>
            </w:r>
            <w:r w:rsidR="00565E03">
              <w:t xml:space="preserve">di </w:t>
            </w:r>
            <w:r>
              <w:t xml:space="preserve">azienda anche se </w:t>
            </w:r>
            <w:r w:rsidR="00D803C2">
              <w:t>l’</w:t>
            </w:r>
            <w:r>
              <w:t xml:space="preserve">attività imprenditoriale </w:t>
            </w:r>
            <w:r w:rsidR="00D803C2">
              <w:t xml:space="preserve">non è </w:t>
            </w:r>
            <w:r>
              <w:t xml:space="preserve">mai iniziata ovvero </w:t>
            </w:r>
            <w:r w:rsidR="00D803C2">
              <w:t xml:space="preserve">è </w:t>
            </w:r>
            <w:r>
              <w:t xml:space="preserve">sospesa al momento della cessione, a condizione che i beni </w:t>
            </w:r>
            <w:r w:rsidR="00D803C2">
              <w:t xml:space="preserve">che la </w:t>
            </w:r>
            <w:r w:rsidR="00565E03">
              <w:t>compongono siano idonei oggettivamente all’esercizio dell’impresa.</w:t>
            </w:r>
          </w:p>
        </w:tc>
      </w:tr>
      <w:tr w:rsidR="00D7719D" w:rsidRPr="005A7E30" w:rsidTr="00472021">
        <w:trPr>
          <w:trHeight w:val="757"/>
        </w:trPr>
        <w:tc>
          <w:tcPr>
            <w:tcW w:w="2672" w:type="dxa"/>
          </w:tcPr>
          <w:p w:rsidR="00D7719D" w:rsidRPr="00565E03" w:rsidRDefault="00565E03" w:rsidP="002125C8">
            <w:r w:rsidRPr="00565E03">
              <w:t>CTC 05/12/1985, n. 10646</w:t>
            </w:r>
          </w:p>
        </w:tc>
        <w:tc>
          <w:tcPr>
            <w:tcW w:w="6895" w:type="dxa"/>
          </w:tcPr>
          <w:p w:rsidR="00D7719D" w:rsidRPr="005A7E30" w:rsidRDefault="00565E03" w:rsidP="002125C8">
            <w:r>
              <w:t>Cessione di azienda anche in mancanza di merci e prodotti</w:t>
            </w:r>
            <w:r w:rsidR="00D803C2">
              <w:t>,</w:t>
            </w:r>
            <w:r>
              <w:t xml:space="preserve"> poiché al momento dell’alienazione la loro presenza può essere eventuale.</w:t>
            </w:r>
          </w:p>
        </w:tc>
      </w:tr>
      <w:tr w:rsidR="00D7719D" w:rsidRPr="009E64CE" w:rsidTr="00472021">
        <w:trPr>
          <w:trHeight w:val="757"/>
        </w:trPr>
        <w:tc>
          <w:tcPr>
            <w:tcW w:w="2672" w:type="dxa"/>
          </w:tcPr>
          <w:p w:rsidR="00D7719D" w:rsidRPr="00565E03" w:rsidRDefault="00565E03" w:rsidP="002125C8">
            <w:pPr>
              <w:rPr>
                <w:lang w:val="en-US"/>
              </w:rPr>
            </w:pPr>
            <w:r w:rsidRPr="00565E03">
              <w:rPr>
                <w:lang w:val="en-US"/>
              </w:rPr>
              <w:t>Ris. Min. 30/10/1976, n. 361390</w:t>
            </w:r>
          </w:p>
          <w:p w:rsidR="00565E03" w:rsidRPr="00565E03" w:rsidRDefault="00565E03" w:rsidP="002125C8">
            <w:pPr>
              <w:rPr>
                <w:lang w:val="en-US"/>
              </w:rPr>
            </w:pPr>
            <w:r w:rsidRPr="00565E03">
              <w:rPr>
                <w:lang w:val="en-US"/>
              </w:rPr>
              <w:t>Ris. Min. 11/03/1980, n. 365808</w:t>
            </w:r>
          </w:p>
          <w:p w:rsidR="00565E03" w:rsidRPr="009E64CE" w:rsidRDefault="009E64CE" w:rsidP="002125C8">
            <w:r w:rsidRPr="009E64CE">
              <w:t>Cass. 2</w:t>
            </w:r>
            <w:r>
              <w:t>8/07/2006, n. 17221</w:t>
            </w:r>
            <w:r w:rsidR="00565E03" w:rsidRPr="009E64CE">
              <w:t xml:space="preserve"> </w:t>
            </w:r>
          </w:p>
        </w:tc>
        <w:tc>
          <w:tcPr>
            <w:tcW w:w="6895" w:type="dxa"/>
          </w:tcPr>
          <w:p w:rsidR="00D7719D" w:rsidRPr="009E64CE" w:rsidRDefault="009E64CE" w:rsidP="002125C8">
            <w:r>
              <w:t xml:space="preserve">Cessione di azienda anche se vengono poste in essere vendite frazionate dei singoli beni. Ciò che rileva </w:t>
            </w:r>
            <w:r w:rsidR="00D803C2">
              <w:t xml:space="preserve">infatti </w:t>
            </w:r>
            <w:r>
              <w:t>è il risultato finale (intera azienda o almeno un’unità organica produttiva).</w:t>
            </w:r>
          </w:p>
        </w:tc>
      </w:tr>
    </w:tbl>
    <w:p w:rsidR="00472021" w:rsidRPr="009E64CE" w:rsidRDefault="00472021" w:rsidP="005C368F"/>
    <w:p w:rsidR="00472021" w:rsidRPr="009E64CE" w:rsidRDefault="00472021" w:rsidP="005C368F"/>
    <w:p w:rsidR="00EF67D1" w:rsidRPr="00E56253" w:rsidRDefault="005C368F" w:rsidP="005C368F">
      <w:pPr>
        <w:rPr>
          <w:u w:val="single"/>
        </w:rPr>
      </w:pPr>
      <w:r w:rsidRPr="00E56253">
        <w:rPr>
          <w:u w:val="single"/>
        </w:rPr>
        <w:t>Determinazione della plusvalenza</w:t>
      </w:r>
    </w:p>
    <w:p w:rsidR="00EF67D1" w:rsidRDefault="00EF67D1" w:rsidP="007374CB">
      <w:pPr>
        <w:pStyle w:val="Paragrafoelenco"/>
        <w:numPr>
          <w:ilvl w:val="0"/>
          <w:numId w:val="9"/>
        </w:numPr>
      </w:pPr>
      <w:r>
        <w:t xml:space="preserve">Prezzo di vendita pattuito MENO il </w:t>
      </w:r>
      <w:r w:rsidRPr="00207D5A">
        <w:rPr>
          <w:b/>
        </w:rPr>
        <w:t>valore fiscale</w:t>
      </w:r>
      <w:r>
        <w:t xml:space="preserve"> dei beni ceduti che rappresentano l’azienda</w:t>
      </w:r>
    </w:p>
    <w:p w:rsidR="00EF67D1" w:rsidRDefault="00EF67D1" w:rsidP="00EF67D1">
      <w:pPr>
        <w:pStyle w:val="Paragrafoelenco"/>
        <w:ind w:left="1920"/>
      </w:pPr>
    </w:p>
    <w:p w:rsidR="00B02402" w:rsidRDefault="005C368F" w:rsidP="00B02402">
      <w:pPr>
        <w:pStyle w:val="Paragrafoelenco"/>
        <w:numPr>
          <w:ilvl w:val="0"/>
          <w:numId w:val="4"/>
        </w:numPr>
      </w:pPr>
      <w:r>
        <w:t>Tassazione ordinaria</w:t>
      </w:r>
      <w:r w:rsidR="006E2A8B">
        <w:t xml:space="preserve"> [</w:t>
      </w:r>
      <w:r w:rsidR="00CF2347">
        <w:t>A</w:t>
      </w:r>
      <w:r w:rsidR="006E2A8B">
        <w:t>rt. 86</w:t>
      </w:r>
      <w:r w:rsidR="00EF67D1">
        <w:t>]</w:t>
      </w:r>
      <w:r w:rsidR="009A4CB0">
        <w:t>.</w:t>
      </w:r>
    </w:p>
    <w:p w:rsidR="00EF67D1" w:rsidRDefault="00B02402" w:rsidP="00EF67D1">
      <w:pPr>
        <w:pStyle w:val="Paragrafoelenco"/>
        <w:numPr>
          <w:ilvl w:val="0"/>
          <w:numId w:val="4"/>
        </w:numPr>
      </w:pPr>
      <w:r>
        <w:t xml:space="preserve">Tassazione </w:t>
      </w:r>
      <w:r w:rsidR="00F645A1">
        <w:t>rateizzata</w:t>
      </w:r>
      <w:r w:rsidR="00F52D09">
        <w:t xml:space="preserve"> in quote costanti nell’esercizio e al massimo nei quattro successivi</w:t>
      </w:r>
      <w:r w:rsidR="00EF67D1">
        <w:t xml:space="preserve"> (“</w:t>
      </w:r>
      <w:r w:rsidR="00E56253">
        <w:t>b</w:t>
      </w:r>
      <w:r w:rsidR="002D77DA" w:rsidRPr="00EF67D1">
        <w:t>ene” posseduto per tre anni</w:t>
      </w:r>
      <w:r w:rsidR="00EF67D1">
        <w:t xml:space="preserve"> e p</w:t>
      </w:r>
      <w:r w:rsidR="002D77DA" w:rsidRPr="00EF67D1">
        <w:t>rosecuzione dell’attività d’impresa</w:t>
      </w:r>
      <w:r w:rsidR="00EF67D1">
        <w:t>) [</w:t>
      </w:r>
      <w:r w:rsidR="00CF2347">
        <w:t>A</w:t>
      </w:r>
      <w:r w:rsidR="00EF67D1">
        <w:t>rt. 86]</w:t>
      </w:r>
      <w:r w:rsidR="009A4CB0">
        <w:t>.</w:t>
      </w:r>
    </w:p>
    <w:p w:rsidR="003B5FEC" w:rsidRDefault="00EF67D1" w:rsidP="003B5FEC">
      <w:pPr>
        <w:pStyle w:val="Paragrafoelenco"/>
        <w:numPr>
          <w:ilvl w:val="0"/>
          <w:numId w:val="4"/>
        </w:numPr>
      </w:pPr>
      <w:r>
        <w:t>Tassazione separata</w:t>
      </w:r>
      <w:r w:rsidR="00B02402">
        <w:t xml:space="preserve"> </w:t>
      </w:r>
      <w:r>
        <w:t>(</w:t>
      </w:r>
      <w:r w:rsidR="00E56253">
        <w:t>i</w:t>
      </w:r>
      <w:r w:rsidR="002D77DA" w:rsidRPr="00EF67D1">
        <w:t>mpresa esercitata da cinque anni</w:t>
      </w:r>
      <w:r>
        <w:t>; r</w:t>
      </w:r>
      <w:r w:rsidR="002D77DA" w:rsidRPr="00EF67D1">
        <w:t xml:space="preserve">iservata </w:t>
      </w:r>
      <w:r w:rsidR="00F645A1">
        <w:t xml:space="preserve">solo </w:t>
      </w:r>
      <w:r w:rsidR="002D77DA" w:rsidRPr="00EF67D1">
        <w:t>alle imprese individuali</w:t>
      </w:r>
      <w:r w:rsidR="006E2A8B">
        <w:t>) [</w:t>
      </w:r>
      <w:r w:rsidR="00CF2347">
        <w:t>A</w:t>
      </w:r>
      <w:r>
        <w:t xml:space="preserve">rt. </w:t>
      </w:r>
      <w:r w:rsidR="00F645A1">
        <w:t xml:space="preserve">58 c.1 e art. </w:t>
      </w:r>
      <w:r>
        <w:t xml:space="preserve">17, c. 1, lett. </w:t>
      </w:r>
      <w:r w:rsidR="00F645A1">
        <w:t>g]</w:t>
      </w:r>
      <w:r w:rsidR="009A4CB0">
        <w:t>.</w:t>
      </w:r>
    </w:p>
    <w:p w:rsidR="00E3496B" w:rsidRDefault="00E3496B" w:rsidP="00E3496B"/>
    <w:p w:rsidR="007B0B68" w:rsidRDefault="006F2DF4" w:rsidP="007B0B68">
      <w:pPr>
        <w:rPr>
          <w:b/>
        </w:rPr>
      </w:pPr>
      <w:r w:rsidRPr="005A7E30">
        <w:rPr>
          <w:b/>
        </w:rPr>
        <w:t>IMPOSIZIONE DIRETTA:</w:t>
      </w:r>
      <w:r>
        <w:rPr>
          <w:b/>
        </w:rPr>
        <w:t xml:space="preserve"> IRAP</w:t>
      </w:r>
    </w:p>
    <w:p w:rsidR="00E3496B" w:rsidRPr="007B0B68" w:rsidRDefault="006F2DF4" w:rsidP="007B0B68">
      <w:pPr>
        <w:pStyle w:val="Paragrafoelenco"/>
        <w:numPr>
          <w:ilvl w:val="0"/>
          <w:numId w:val="9"/>
        </w:numPr>
        <w:rPr>
          <w:b/>
        </w:rPr>
      </w:pPr>
      <w:r w:rsidRPr="007B0B68">
        <w:t>Le plus/minusvalenze derivanti dalla cessione d’azienda non rilevano ai fini del tributo in esame.</w:t>
      </w:r>
    </w:p>
    <w:p w:rsidR="007B0B68" w:rsidRDefault="007B0B68" w:rsidP="00E3496B"/>
    <w:p w:rsidR="007B0B68" w:rsidRDefault="007B0B68" w:rsidP="00E3496B">
      <w:pPr>
        <w:rPr>
          <w:b/>
        </w:rPr>
      </w:pPr>
      <w:r w:rsidRPr="005A7E30">
        <w:rPr>
          <w:b/>
        </w:rPr>
        <w:t xml:space="preserve">IMPOSIZIONE </w:t>
      </w:r>
      <w:r>
        <w:rPr>
          <w:b/>
        </w:rPr>
        <w:t>IN</w:t>
      </w:r>
      <w:r w:rsidRPr="005A7E30">
        <w:rPr>
          <w:b/>
        </w:rPr>
        <w:t>DIRETTA:</w:t>
      </w:r>
      <w:r>
        <w:rPr>
          <w:b/>
        </w:rPr>
        <w:t xml:space="preserve"> IVA</w:t>
      </w:r>
    </w:p>
    <w:p w:rsidR="007B0B68" w:rsidRDefault="007B0B68" w:rsidP="00E3496B">
      <w:pPr>
        <w:rPr>
          <w:i/>
        </w:rPr>
      </w:pPr>
      <w:r w:rsidRPr="007B0B68">
        <w:rPr>
          <w:i/>
        </w:rPr>
        <w:t>Riferimenti normativi:</w:t>
      </w:r>
    </w:p>
    <w:p w:rsidR="007B0B68" w:rsidRDefault="0081090A" w:rsidP="00E3496B">
      <w:pPr>
        <w:rPr>
          <w:lang w:val="en-US"/>
        </w:rPr>
      </w:pPr>
      <w:r>
        <w:rPr>
          <w:noProof/>
          <w:lang w:eastAsia="it-IT"/>
        </w:rPr>
        <w:pict>
          <v:shapetype id="_x0000_t32" coordsize="21600,21600" o:spt="32" o:oned="t" path="m,l21600,21600e" filled="f">
            <v:path arrowok="t" fillok="f" o:connecttype="none"/>
            <o:lock v:ext="edit" shapetype="t"/>
          </v:shapetype>
          <v:shape id="Connettore 2 5" o:spid="_x0000_s1026" type="#_x0000_t32" style="position:absolute;margin-left:175.05pt;margin-top:5.6pt;width:16.5pt;height:1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" strokecolor="black [3200]" strokeweight="1.5pt">
            <v:stroke endarrow="block" joinstyle="miter"/>
          </v:shape>
        </w:pict>
      </w:r>
      <w:r w:rsidR="00C06D8D">
        <w:rPr>
          <w:lang w:val="en-US"/>
        </w:rPr>
        <w:t>Art. 2, comma 3 lett. b)</w:t>
      </w:r>
      <w:r w:rsidR="007B0B68" w:rsidRPr="007B0B68">
        <w:rPr>
          <w:lang w:val="en-US"/>
        </w:rPr>
        <w:t xml:space="preserve"> DPR 633/1972</w:t>
      </w:r>
    </w:p>
    <w:p w:rsidR="00E646CB" w:rsidRPr="00385E7A" w:rsidRDefault="00996C23" w:rsidP="00996C23">
      <w:pPr>
        <w:rPr>
          <w:i/>
        </w:rPr>
      </w:pPr>
      <w:r w:rsidRPr="00385E7A">
        <w:rPr>
          <w:i/>
        </w:rPr>
        <w:t>“</w:t>
      </w:r>
      <w:r w:rsidR="007B0B68" w:rsidRPr="00385E7A">
        <w:rPr>
          <w:i/>
        </w:rPr>
        <w:t>Non sono considerate cessioni di beni</w:t>
      </w:r>
      <w:r w:rsidRPr="00385E7A">
        <w:rPr>
          <w:i/>
        </w:rPr>
        <w:t xml:space="preserve"> le cessioni che hanno per oggetto aziende o rami d’azienda".</w:t>
      </w:r>
    </w:p>
    <w:p w:rsidR="00996C23" w:rsidRDefault="00996C23" w:rsidP="00996C23">
      <w:r>
        <w:t>Pertanto i singoli beni ogget</w:t>
      </w:r>
      <w:r w:rsidR="00385E7A">
        <w:t>tivamente imponibili, che</w:t>
      </w:r>
      <w:r>
        <w:t xml:space="preserve"> vengono trasferiti insieme all’azienda di cui fanno parte, non sono assoggettabili ad IVA al momento della cessione.</w:t>
      </w:r>
    </w:p>
    <w:p w:rsidR="00A6038F" w:rsidRDefault="00A6038F" w:rsidP="00996C23"/>
    <w:p w:rsidR="00A6038F" w:rsidRDefault="00A6038F" w:rsidP="00996C23">
      <w:pPr>
        <w:rPr>
          <w:b/>
        </w:rPr>
      </w:pPr>
      <w:r w:rsidRPr="005A7E30">
        <w:rPr>
          <w:b/>
        </w:rPr>
        <w:t xml:space="preserve">IMPOSIZIONE </w:t>
      </w:r>
      <w:r>
        <w:rPr>
          <w:b/>
        </w:rPr>
        <w:t>IN</w:t>
      </w:r>
      <w:r w:rsidRPr="005A7E30">
        <w:rPr>
          <w:b/>
        </w:rPr>
        <w:t>DIRETTA:</w:t>
      </w:r>
      <w:r>
        <w:rPr>
          <w:b/>
        </w:rPr>
        <w:t xml:space="preserve"> IMPOSTA DI REGISTRO</w:t>
      </w:r>
    </w:p>
    <w:p w:rsidR="00C06D8D" w:rsidRPr="00C06D8D" w:rsidRDefault="00C06D8D" w:rsidP="00996C23">
      <w:pPr>
        <w:rPr>
          <w:i/>
        </w:rPr>
      </w:pPr>
      <w:r w:rsidRPr="00C06D8D">
        <w:rPr>
          <w:i/>
        </w:rPr>
        <w:t>Riferimenti normativi:</w:t>
      </w:r>
    </w:p>
    <w:p w:rsidR="007B0B68" w:rsidRDefault="00C06D8D" w:rsidP="00E3496B">
      <w:r>
        <w:t>DPR 131/1986</w:t>
      </w:r>
    </w:p>
    <w:p w:rsidR="00C06D8D" w:rsidRDefault="00C06D8D" w:rsidP="00E3496B"/>
    <w:p w:rsidR="00900BFF" w:rsidRPr="00900BFF" w:rsidRDefault="00900BFF" w:rsidP="00E3496B">
      <w:pPr>
        <w:rPr>
          <w:u w:val="single"/>
        </w:rPr>
      </w:pPr>
      <w:r w:rsidRPr="00900BFF">
        <w:rPr>
          <w:u w:val="single"/>
        </w:rPr>
        <w:t>Alternatività tra Imposta di Registro e IVA</w:t>
      </w:r>
    </w:p>
    <w:p w:rsidR="00D366A4" w:rsidRPr="00900BFF" w:rsidRDefault="00E50111" w:rsidP="00385E7A">
      <w:pPr>
        <w:pStyle w:val="Paragrafoelenco"/>
        <w:numPr>
          <w:ilvl w:val="0"/>
          <w:numId w:val="15"/>
        </w:numPr>
      </w:pPr>
      <w:r w:rsidRPr="00900BFF">
        <w:t>Singoli beni soggetti ad IVA</w:t>
      </w:r>
    </w:p>
    <w:p w:rsidR="00D366A4" w:rsidRPr="00900BFF" w:rsidRDefault="00E50111" w:rsidP="00385E7A">
      <w:pPr>
        <w:pStyle w:val="Paragrafoelenco"/>
        <w:numPr>
          <w:ilvl w:val="0"/>
          <w:numId w:val="15"/>
        </w:numPr>
      </w:pPr>
      <w:r w:rsidRPr="00900BFF">
        <w:t>Cessione di azienda soggetta ad imposta di registro</w:t>
      </w:r>
    </w:p>
    <w:p w:rsidR="00900BFF" w:rsidRPr="007B0B68" w:rsidRDefault="00900BFF" w:rsidP="00900BFF">
      <w:pPr>
        <w:pStyle w:val="Paragrafoelenco"/>
        <w:ind w:left="915"/>
      </w:pPr>
    </w:p>
    <w:p w:rsidR="007B0B68" w:rsidRDefault="002A6610" w:rsidP="00E3496B">
      <w:pPr>
        <w:rPr>
          <w:u w:val="single"/>
        </w:rPr>
      </w:pPr>
      <w:r w:rsidRPr="000F72F9">
        <w:rPr>
          <w:u w:val="single"/>
        </w:rPr>
        <w:t>Base imponibile</w:t>
      </w:r>
      <w:r w:rsidR="006E2A8B">
        <w:rPr>
          <w:u w:val="single"/>
        </w:rPr>
        <w:t xml:space="preserve"> [</w:t>
      </w:r>
      <w:r w:rsidR="000F72F9" w:rsidRPr="000F72F9">
        <w:rPr>
          <w:u w:val="single"/>
        </w:rPr>
        <w:t>Art. 23 c. 1 e 4, Art. 51 c.</w:t>
      </w:r>
      <w:r w:rsidR="000F72F9">
        <w:rPr>
          <w:u w:val="single"/>
        </w:rPr>
        <w:t xml:space="preserve"> </w:t>
      </w:r>
      <w:r w:rsidR="006E2A8B">
        <w:rPr>
          <w:u w:val="single"/>
        </w:rPr>
        <w:t>4</w:t>
      </w:r>
      <w:r w:rsidR="00CF2347">
        <w:rPr>
          <w:u w:val="single"/>
        </w:rPr>
        <w:t>]</w:t>
      </w:r>
      <w:r w:rsidR="000F72F9" w:rsidRPr="000F72F9">
        <w:rPr>
          <w:u w:val="single"/>
        </w:rPr>
        <w:t xml:space="preserve"> </w:t>
      </w:r>
    </w:p>
    <w:p w:rsidR="00900BFF" w:rsidRPr="00900BFF" w:rsidRDefault="0081090A" w:rsidP="00900BFF">
      <w:pPr>
        <w:pStyle w:val="Paragrafoelenco"/>
        <w:numPr>
          <w:ilvl w:val="0"/>
          <w:numId w:val="13"/>
        </w:numPr>
      </w:pPr>
      <w:r>
        <w:rPr>
          <w:noProof/>
          <w:lang w:eastAsia="it-IT"/>
        </w:rPr>
        <w:pict>
          <v:shape id="Connettore 2 2" o:spid="_x0000_s1027" type="#_x0000_t32" style="position:absolute;left:0;text-align:left;margin-left:117.3pt;margin-top:14.75pt;width:16.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" strokecolor="black [3200]" strokeweight="1.5pt">
            <v:stroke endarrow="block" joinstyle="miter"/>
          </v:shape>
        </w:pict>
      </w:r>
      <w:r w:rsidR="00900BFF" w:rsidRPr="00900BFF">
        <w:t xml:space="preserve">E’ data dal </w:t>
      </w:r>
      <w:r w:rsidR="00900BFF" w:rsidRPr="00900BFF">
        <w:rPr>
          <w:b/>
        </w:rPr>
        <w:t>valore corrente</w:t>
      </w:r>
      <w:r w:rsidR="00900BFF" w:rsidRPr="00900BFF">
        <w:t xml:space="preserve"> dell’azienda, il quale può essere diverso dal prezzo pattuito.</w:t>
      </w:r>
    </w:p>
    <w:p w:rsidR="00547418" w:rsidRDefault="007B0B68" w:rsidP="00547418">
      <w:r w:rsidRPr="007B0B68">
        <w:t xml:space="preserve"> </w:t>
      </w:r>
    </w:p>
    <w:p w:rsidR="00F645A1" w:rsidRDefault="006F3ABB" w:rsidP="00547418">
      <w:r>
        <w:t>Si determina con riferimento al valore com</w:t>
      </w:r>
      <w:r w:rsidR="00541D4F">
        <w:t>plessivo dei beni relativi al</w:t>
      </w:r>
      <w:r>
        <w:t>l’</w:t>
      </w:r>
      <w:r w:rsidR="00184163">
        <w:t xml:space="preserve">azienda, dedotte </w:t>
      </w:r>
      <w:r>
        <w:t>le passività ad essa imputabili.</w:t>
      </w:r>
      <w:r w:rsidR="00184163">
        <w:t xml:space="preserve"> Vi è compreso anche il valore dell’avviamento.</w:t>
      </w:r>
    </w:p>
    <w:p w:rsidR="00D52DF9" w:rsidRDefault="00184163" w:rsidP="00F645A1">
      <w:r>
        <w:lastRenderedPageBreak/>
        <w:t>Se l’azienda è composta da più beni per i quali è prevista una diversa aliquota, ed ogni bene ha un valore distinto indicato nel contratto di cessione, si determinano separate basi imponibili deducendo dal valore dei singoli beni le passività proporzionalmente imputabili.</w:t>
      </w:r>
    </w:p>
    <w:p w:rsidR="00F645A1" w:rsidRPr="00D52DF9" w:rsidRDefault="00794222" w:rsidP="00F645A1">
      <w:r>
        <w:rPr>
          <w:u w:val="single"/>
        </w:rPr>
        <w:t>Calcolo dell’imposta</w:t>
      </w:r>
    </w:p>
    <w:p w:rsidR="00794222" w:rsidRPr="00794222" w:rsidRDefault="00480FB9" w:rsidP="003B5FEC">
      <w:r>
        <w:t xml:space="preserve">L’imposta si ottiene </w:t>
      </w:r>
      <w:r w:rsidR="00794222">
        <w:t>applica</w:t>
      </w:r>
      <w:r>
        <w:t>ndo</w:t>
      </w:r>
      <w:r w:rsidR="00794222">
        <w:t xml:space="preserve"> alla base imponibile l’aliquota prevista dalle legge.</w:t>
      </w:r>
    </w:p>
    <w:p w:rsidR="00794222" w:rsidRPr="00794222" w:rsidRDefault="00794222" w:rsidP="003B5FEC">
      <w:r>
        <w:t>Per i singoli beni (se indicati i corrispettivi pattuiti per ognuno) si adottano le aliquote ordinariamente applicabili alla loro cessione:</w:t>
      </w:r>
    </w:p>
    <w:p w:rsidR="00AB2997" w:rsidRDefault="00794222" w:rsidP="00794222">
      <w:pPr>
        <w:pStyle w:val="Paragrafoelenco"/>
        <w:numPr>
          <w:ilvl w:val="0"/>
          <w:numId w:val="14"/>
        </w:numPr>
      </w:pPr>
      <w:r>
        <w:t>Immobili 9%</w:t>
      </w:r>
    </w:p>
    <w:p w:rsidR="00794222" w:rsidRDefault="00794222" w:rsidP="00794222">
      <w:pPr>
        <w:pStyle w:val="Paragrafoelenco"/>
        <w:numPr>
          <w:ilvl w:val="0"/>
          <w:numId w:val="14"/>
        </w:numPr>
      </w:pPr>
      <w:r>
        <w:t>Crediti 0,5%</w:t>
      </w:r>
    </w:p>
    <w:p w:rsidR="00794222" w:rsidRDefault="00794222" w:rsidP="00794222">
      <w:pPr>
        <w:pStyle w:val="Paragrafoelenco"/>
        <w:numPr>
          <w:ilvl w:val="0"/>
          <w:numId w:val="14"/>
        </w:numPr>
      </w:pPr>
      <w:r>
        <w:t>Beni mobili e Avviamento 3%</w:t>
      </w:r>
    </w:p>
    <w:p w:rsidR="00794222" w:rsidRPr="007B0B68" w:rsidRDefault="00794222" w:rsidP="00794222">
      <w:r>
        <w:t>Se non sono indicati i corrispettivi</w:t>
      </w:r>
      <w:r w:rsidR="00547418">
        <w:t xml:space="preserve"> specifici</w:t>
      </w:r>
      <w:r>
        <w:t xml:space="preserve"> si applica l’aliquota più alta (a</w:t>
      </w:r>
      <w:r w:rsidR="00967960">
        <w:t>d esempio in presenza di immobili il 9%)</w:t>
      </w:r>
      <w:r>
        <w:t>.</w:t>
      </w:r>
    </w:p>
    <w:p w:rsidR="00C74667" w:rsidRPr="00EF4890" w:rsidRDefault="00EF4890" w:rsidP="00AB2997">
      <w:r w:rsidRPr="00EF4890">
        <w:t>In presenza di immobili sono dovute anche le imposte ipotecaria e catastale che,</w:t>
      </w:r>
      <w:r w:rsidR="00EA3D70" w:rsidRPr="00EF4890">
        <w:t xml:space="preserve"> dal 1° gennaio 2014</w:t>
      </w:r>
      <w:r w:rsidRPr="00EF4890">
        <w:t>,</w:t>
      </w:r>
      <w:r w:rsidR="00EA3D70" w:rsidRPr="00EF4890">
        <w:t xml:space="preserve"> si applicano in misura fissa di 50 euro ciascuna indipendentemente dal numero degli immobili.</w:t>
      </w:r>
    </w:p>
    <w:p w:rsidR="00EA3D70" w:rsidRPr="00EA3D70" w:rsidRDefault="00EA3D70" w:rsidP="00AB2997">
      <w:pPr>
        <w:rPr>
          <w:color w:val="FF0000"/>
        </w:rPr>
      </w:pPr>
    </w:p>
    <w:p w:rsidR="00B02402" w:rsidRDefault="00C9399A" w:rsidP="00C9399A">
      <w:pPr>
        <w:rPr>
          <w:b/>
        </w:rPr>
      </w:pPr>
      <w:r w:rsidRPr="00C9399A">
        <w:rPr>
          <w:b/>
        </w:rPr>
        <w:t>CASI PARTICOLARI</w:t>
      </w:r>
    </w:p>
    <w:p w:rsidR="00D803C2" w:rsidRPr="00C9399A" w:rsidRDefault="00D803C2" w:rsidP="00C9399A">
      <w:pPr>
        <w:rPr>
          <w:b/>
        </w:rPr>
      </w:pPr>
    </w:p>
    <w:p w:rsidR="005C368F" w:rsidRDefault="00CC08F2" w:rsidP="00B80220">
      <w:pPr>
        <w:autoSpaceDE w:val="0"/>
        <w:autoSpaceDN w:val="0"/>
        <w:adjustRightInd w:val="0"/>
        <w:spacing w:after="0" w:line="240" w:lineRule="exact"/>
        <w:rPr>
          <w:rFonts w:eastAsia="TimesNewRoman" w:cs="TimesNewRoman"/>
          <w:u w:val="single"/>
        </w:rPr>
      </w:pPr>
      <w:r w:rsidRPr="00CC08F2">
        <w:rPr>
          <w:u w:val="single"/>
        </w:rPr>
        <w:t>Avviamento negativo</w:t>
      </w:r>
      <w:r w:rsidR="00B80220">
        <w:rPr>
          <w:u w:val="single"/>
        </w:rPr>
        <w:t xml:space="preserve"> </w:t>
      </w:r>
      <w:r w:rsidR="006E2A8B">
        <w:rPr>
          <w:u w:val="single"/>
        </w:rPr>
        <w:t>[</w:t>
      </w:r>
      <w:r w:rsidR="00B80220" w:rsidRPr="00B80220">
        <w:rPr>
          <w:u w:val="single"/>
        </w:rPr>
        <w:t>R</w:t>
      </w:r>
      <w:r w:rsidR="00B80220" w:rsidRPr="00B80220">
        <w:rPr>
          <w:rFonts w:eastAsia="TimesNewRoman" w:cs="TimesNewRoman"/>
          <w:u w:val="single"/>
        </w:rPr>
        <w:t>is. Ag. Entrate del 25 luglio 2007 n. 184/E]</w:t>
      </w:r>
    </w:p>
    <w:p w:rsidR="00B80220" w:rsidRPr="00B80220" w:rsidRDefault="00B80220" w:rsidP="00B80220">
      <w:pPr>
        <w:autoSpaceDE w:val="0"/>
        <w:autoSpaceDN w:val="0"/>
        <w:adjustRightInd w:val="0"/>
        <w:spacing w:after="0" w:line="240" w:lineRule="exact"/>
        <w:rPr>
          <w:rFonts w:ascii="TimesNewRoman" w:eastAsia="TimesNewRoman" w:cs="TimesNewRoman"/>
          <w:sz w:val="24"/>
          <w:szCs w:val="24"/>
        </w:rPr>
      </w:pPr>
    </w:p>
    <w:p w:rsidR="005C77A5" w:rsidRDefault="00E01C04" w:rsidP="00B80220">
      <w:pPr>
        <w:pStyle w:val="Paragrafoelenco"/>
        <w:numPr>
          <w:ilvl w:val="0"/>
          <w:numId w:val="9"/>
        </w:numPr>
        <w:autoSpaceDE w:val="0"/>
        <w:autoSpaceDN w:val="0"/>
        <w:adjustRightInd w:val="0"/>
        <w:spacing w:after="0"/>
        <w:ind w:left="913" w:hanging="357"/>
        <w:rPr>
          <w:rFonts w:eastAsia="TimesNewRoman" w:cs="TimesNewRoman"/>
        </w:rPr>
      </w:pPr>
      <w:r>
        <w:t xml:space="preserve">Si ha quando la </w:t>
      </w:r>
      <w:r w:rsidRPr="006749E5">
        <w:t xml:space="preserve">differenza </w:t>
      </w:r>
      <w:r w:rsidR="006749E5" w:rsidRPr="00B80220">
        <w:t>tra il prezzo di cessione dell’azienda o del ramo d’azienda e la somma algebrica dei valori delle attività e delle passività trasferite assume un valore negativo</w:t>
      </w:r>
      <w:r w:rsidR="006749E5" w:rsidRPr="0082540C">
        <w:rPr>
          <w:rFonts w:eastAsia="TimesNewRoman" w:cs="TimesNewRoman"/>
        </w:rPr>
        <w:t>.</w:t>
      </w:r>
    </w:p>
    <w:p w:rsidR="0082540C" w:rsidRDefault="0082540C" w:rsidP="0082540C">
      <w:pPr>
        <w:autoSpaceDE w:val="0"/>
        <w:autoSpaceDN w:val="0"/>
        <w:adjustRightInd w:val="0"/>
        <w:spacing w:after="0" w:line="240" w:lineRule="auto"/>
        <w:rPr>
          <w:rFonts w:eastAsia="TimesNewRoman" w:cs="TimesNewRoman"/>
        </w:rPr>
      </w:pP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rPr>
          <w:rFonts w:eastAsia="TimesNewRoman" w:cs="TimesNewRoman"/>
        </w:rPr>
        <w:t xml:space="preserve">Se corretto civilisticamente, il </w:t>
      </w:r>
      <w:r w:rsidRPr="008A430E">
        <w:rPr>
          <w:rFonts w:eastAsia="TimesNewRoman" w:cs="TimesNewRoman"/>
          <w:i/>
        </w:rPr>
        <w:t>badwill</w:t>
      </w:r>
      <w:r>
        <w:rPr>
          <w:rFonts w:eastAsia="TimesNewRoman" w:cs="TimesNewRoman"/>
        </w:rPr>
        <w:t xml:space="preserve"> va iscritto nel </w:t>
      </w:r>
      <w:r w:rsidRPr="008A430E">
        <w:rPr>
          <w:i/>
        </w:rPr>
        <w:t>Fondo rischi ed oneri futuri</w:t>
      </w:r>
      <w:r>
        <w:t xml:space="preserve"> del passivo dello SP.</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t>Il trattamento tributario</w:t>
      </w:r>
      <w:r w:rsidR="00164088">
        <w:t>, sostiene</w:t>
      </w:r>
      <w:r w:rsidR="00B54817">
        <w:t xml:space="preserve"> l’Ag. delle Entrate,</w:t>
      </w:r>
      <w:r>
        <w:t xml:space="preserve"> segue il suo utilizzo contabile.</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t xml:space="preserve">Il fondo rischi sopracitato concorre </w:t>
      </w:r>
      <w:r w:rsidRPr="008A430E">
        <w:t>alla formazione del reddito dell'acquirente a compensazione dei componenti negativi</w:t>
      </w:r>
      <w:r>
        <w:t>, realizzati nel periodo di tempo stimato per il ritorno in bonis dell’azienda.</w:t>
      </w:r>
    </w:p>
    <w:p w:rsidR="008A430E" w:rsidRPr="008A430E" w:rsidRDefault="008A430E" w:rsidP="008A430E">
      <w:pPr>
        <w:pStyle w:val="Paragrafoelenco"/>
        <w:numPr>
          <w:ilvl w:val="0"/>
          <w:numId w:val="17"/>
        </w:numPr>
        <w:autoSpaceDE w:val="0"/>
        <w:autoSpaceDN w:val="0"/>
        <w:adjustRightInd w:val="0"/>
        <w:spacing w:after="0" w:line="240" w:lineRule="auto"/>
        <w:rPr>
          <w:rFonts w:eastAsia="TimesNewRoman" w:cs="TimesNewRoman"/>
        </w:rPr>
      </w:pPr>
      <w:r w:rsidRPr="008A430E">
        <w:rPr>
          <w:rFonts w:eastAsia="TimesNewRoman" w:cs="TimesNewRoman"/>
        </w:rPr>
        <w:t>L'eventuale eccedenza del fondo al termine di tale periodo dovrà essere stralciata, tramite la rilevazione di una sopravvenienza attiva imponibile.</w:t>
      </w:r>
    </w:p>
    <w:p w:rsidR="00E01C04" w:rsidRDefault="00E01C04" w:rsidP="00C4747D"/>
    <w:p w:rsidR="00CC08F2" w:rsidRPr="00CC08F2" w:rsidRDefault="00F10468" w:rsidP="00C4747D">
      <w:pPr>
        <w:rPr>
          <w:u w:val="single"/>
        </w:rPr>
      </w:pPr>
      <w:r>
        <w:rPr>
          <w:u w:val="single"/>
        </w:rPr>
        <w:t xml:space="preserve">Cessione da parte dell’imprenditore individuale dell’unica azienda </w:t>
      </w:r>
      <w:r w:rsidR="00CC08F2" w:rsidRPr="00CC08F2">
        <w:rPr>
          <w:u w:val="single"/>
        </w:rPr>
        <w:t>precedentemente concessa in affitto</w:t>
      </w:r>
    </w:p>
    <w:p w:rsidR="00BD777E" w:rsidRPr="00BD777E" w:rsidRDefault="00F10468" w:rsidP="00BD777E">
      <w:pPr>
        <w:pStyle w:val="Paragrafoelenco"/>
        <w:numPr>
          <w:ilvl w:val="0"/>
          <w:numId w:val="13"/>
        </w:numPr>
        <w:autoSpaceDE w:val="0"/>
        <w:autoSpaceDN w:val="0"/>
        <w:adjustRightInd w:val="0"/>
        <w:spacing w:after="0" w:line="240" w:lineRule="auto"/>
        <w:rPr>
          <w:rFonts w:eastAsia="TimesNewRoman" w:cs="TimesNewRoman"/>
        </w:rPr>
      </w:pPr>
      <w:r w:rsidRPr="00BD777E">
        <w:rPr>
          <w:rFonts w:eastAsia="TimesNewRoman" w:cs="TimesNewRoman"/>
        </w:rPr>
        <w:t xml:space="preserve">La plusvalenza eventualmente realizzata concorre a formare il reddito complessivo come reddito </w:t>
      </w:r>
      <w:r w:rsidR="00BD777E" w:rsidRPr="00BD777E">
        <w:rPr>
          <w:rFonts w:eastAsia="TimesNewRoman" w:cs="TimesNewRoman"/>
        </w:rPr>
        <w:t xml:space="preserve">                                   </w:t>
      </w:r>
    </w:p>
    <w:p w:rsidR="00F10468" w:rsidRDefault="00BD777E" w:rsidP="00F10468">
      <w:pPr>
        <w:autoSpaceDE w:val="0"/>
        <w:autoSpaceDN w:val="0"/>
        <w:adjustRightInd w:val="0"/>
        <w:spacing w:after="0" w:line="240" w:lineRule="auto"/>
        <w:rPr>
          <w:rFonts w:eastAsia="TimesNewRoman" w:cs="TimesNewRoman"/>
        </w:rPr>
      </w:pPr>
      <w:r>
        <w:rPr>
          <w:rFonts w:eastAsia="TimesNewRoman" w:cs="TimesNewRoman"/>
        </w:rPr>
        <w:t xml:space="preserve">              </w:t>
      </w:r>
      <w:r w:rsidR="00F10468">
        <w:rPr>
          <w:rFonts w:eastAsia="TimesNewRoman" w:cs="TimesNewRoman"/>
        </w:rPr>
        <w:t>diverso</w:t>
      </w:r>
      <w:r>
        <w:rPr>
          <w:rFonts w:eastAsia="TimesNewRoman" w:cs="TimesNewRoman"/>
        </w:rPr>
        <w:t xml:space="preserve"> </w:t>
      </w:r>
      <w:r w:rsidR="00F10468">
        <w:rPr>
          <w:rFonts w:eastAsia="TimesNewRoman" w:cs="TimesNewRoman"/>
        </w:rPr>
        <w:t>[ Art. 67, comma 1, lettera h),</w:t>
      </w:r>
      <w:r w:rsidR="00F10468" w:rsidRPr="00F10468">
        <w:rPr>
          <w:rFonts w:eastAsia="TimesNewRoman" w:cs="TimesNewRoman"/>
        </w:rPr>
        <w:t xml:space="preserve"> TUIR</w:t>
      </w:r>
      <w:r w:rsidR="00F10468">
        <w:rPr>
          <w:rFonts w:eastAsia="TimesNewRoman" w:cs="TimesNewRoman"/>
        </w:rPr>
        <w:t xml:space="preserve"> ]</w:t>
      </w:r>
      <w:r>
        <w:rPr>
          <w:rFonts w:eastAsia="TimesNewRoman" w:cs="TimesNewRoman"/>
        </w:rPr>
        <w:t>.</w:t>
      </w:r>
    </w:p>
    <w:p w:rsidR="00146554" w:rsidRDefault="00146554" w:rsidP="00146554">
      <w:pPr>
        <w:pStyle w:val="Paragrafoelenco"/>
        <w:numPr>
          <w:ilvl w:val="0"/>
          <w:numId w:val="13"/>
        </w:numPr>
        <w:autoSpaceDE w:val="0"/>
        <w:autoSpaceDN w:val="0"/>
        <w:adjustRightInd w:val="0"/>
        <w:spacing w:after="0" w:line="240" w:lineRule="auto"/>
        <w:rPr>
          <w:rFonts w:eastAsia="TimesNewRoman" w:cs="TimesNewRoman"/>
        </w:rPr>
      </w:pPr>
      <w:r>
        <w:rPr>
          <w:rFonts w:eastAsia="TimesNewRoman" w:cs="TimesNewRoman"/>
        </w:rPr>
        <w:t>L</w:t>
      </w:r>
      <w:r w:rsidRPr="00146554">
        <w:rPr>
          <w:rFonts w:eastAsia="TimesNewRoman" w:cs="TimesNewRoman"/>
        </w:rPr>
        <w:t>a plusvalenza derivante dalla sua cessione non potrà essere rateizzata non essendo stata conseguita nell’esercizio di impresa</w:t>
      </w:r>
      <w:r w:rsidR="005464C0">
        <w:rPr>
          <w:rFonts w:eastAsia="TimesNewRoman" w:cs="TimesNewRoman"/>
        </w:rPr>
        <w:t xml:space="preserve"> (anche se posseduta per almeno</w:t>
      </w:r>
      <w:r>
        <w:rPr>
          <w:rFonts w:eastAsia="TimesNewRoman" w:cs="TimesNewRoman"/>
        </w:rPr>
        <w:t xml:space="preserve"> 3 anni).</w:t>
      </w:r>
    </w:p>
    <w:p w:rsidR="00323F8B" w:rsidRPr="00146554" w:rsidRDefault="00323F8B" w:rsidP="00146554">
      <w:pPr>
        <w:pStyle w:val="Paragrafoelenco"/>
        <w:numPr>
          <w:ilvl w:val="0"/>
          <w:numId w:val="13"/>
        </w:numPr>
        <w:autoSpaceDE w:val="0"/>
        <w:autoSpaceDN w:val="0"/>
        <w:adjustRightInd w:val="0"/>
        <w:spacing w:after="0" w:line="240" w:lineRule="auto"/>
        <w:rPr>
          <w:rFonts w:eastAsia="TimesNewRoman" w:cs="TimesNewRoman"/>
        </w:rPr>
      </w:pPr>
      <w:r>
        <w:rPr>
          <w:rFonts w:eastAsia="TimesNewRoman" w:cs="TimesNewRoman"/>
        </w:rPr>
        <w:t>Se possesso quinquennale</w:t>
      </w:r>
      <w:r w:rsidR="00C74667">
        <w:rPr>
          <w:rFonts w:eastAsia="TimesNewRoman" w:cs="TimesNewRoman"/>
        </w:rPr>
        <w:t xml:space="preserve"> è</w:t>
      </w:r>
      <w:r>
        <w:rPr>
          <w:rFonts w:eastAsia="TimesNewRoman" w:cs="TimesNewRoman"/>
        </w:rPr>
        <w:t xml:space="preserve"> possibile</w:t>
      </w:r>
      <w:r w:rsidR="00C74667">
        <w:rPr>
          <w:rFonts w:eastAsia="TimesNewRoman" w:cs="TimesNewRoman"/>
        </w:rPr>
        <w:t>, invece,</w:t>
      </w:r>
      <w:r>
        <w:rPr>
          <w:rFonts w:eastAsia="TimesNewRoman" w:cs="TimesNewRoman"/>
        </w:rPr>
        <w:t xml:space="preserve"> optare per la tassazione separata.</w:t>
      </w:r>
    </w:p>
    <w:p w:rsidR="000577A3" w:rsidRDefault="000577A3" w:rsidP="00C4747D">
      <w:pPr>
        <w:rPr>
          <w:u w:val="single"/>
        </w:rPr>
      </w:pPr>
    </w:p>
    <w:p w:rsidR="00353D75" w:rsidRDefault="00CC08F2" w:rsidP="00C4747D">
      <w:pPr>
        <w:rPr>
          <w:u w:val="single"/>
        </w:rPr>
      </w:pPr>
      <w:r w:rsidRPr="00CC08F2">
        <w:rPr>
          <w:u w:val="single"/>
        </w:rPr>
        <w:t xml:space="preserve">Cessione azienda a titolo </w:t>
      </w:r>
      <w:r w:rsidRPr="00CF2347">
        <w:rPr>
          <w:u w:val="single"/>
        </w:rPr>
        <w:t>gratuito</w:t>
      </w:r>
      <w:r w:rsidR="006E2A8B">
        <w:rPr>
          <w:u w:val="single"/>
        </w:rPr>
        <w:t xml:space="preserve"> [</w:t>
      </w:r>
      <w:r w:rsidR="00CF2347" w:rsidRPr="00CF2347">
        <w:rPr>
          <w:u w:val="single"/>
        </w:rPr>
        <w:t xml:space="preserve">Art. </w:t>
      </w:r>
      <w:r w:rsidR="00CF2347" w:rsidRPr="00CF2347">
        <w:rPr>
          <w:rFonts w:eastAsia="TimesNewRoman" w:cs="TimesNewRoman"/>
          <w:u w:val="single"/>
        </w:rPr>
        <w:t>58,</w:t>
      </w:r>
      <w:r w:rsidR="006E2A8B">
        <w:rPr>
          <w:rFonts w:eastAsia="TimesNewRoman" w:cs="TimesNewRoman"/>
          <w:u w:val="single"/>
        </w:rPr>
        <w:t xml:space="preserve"> comma 1, secondo periodo, TUIR</w:t>
      </w:r>
      <w:r w:rsidR="00CF2347" w:rsidRPr="00CF2347">
        <w:rPr>
          <w:rFonts w:eastAsia="TimesNewRoman" w:cs="TimesNewRoman"/>
          <w:u w:val="single"/>
        </w:rPr>
        <w:t>]</w:t>
      </w:r>
      <w:r w:rsidR="00CF2347" w:rsidRPr="00CF2347">
        <w:rPr>
          <w:u w:val="single"/>
        </w:rPr>
        <w:t xml:space="preserve"> </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I</w:t>
      </w:r>
      <w:r w:rsidRPr="00353D75">
        <w:rPr>
          <w:rFonts w:eastAsia="TimesNewRoman" w:cs="TimesNewRoman"/>
        </w:rPr>
        <w:t>l trasferimento di azienda per causa di morte o per atto gratuito non costituisce realizzo di</w:t>
      </w:r>
    </w:p>
    <w:p w:rsidR="00353D75" w:rsidRPr="00353D75" w:rsidRDefault="00353D75" w:rsidP="00353D75">
      <w:pPr>
        <w:autoSpaceDE w:val="0"/>
        <w:autoSpaceDN w:val="0"/>
        <w:adjustRightInd w:val="0"/>
        <w:spacing w:after="0" w:line="240" w:lineRule="auto"/>
        <w:rPr>
          <w:rFonts w:eastAsia="TimesNewRoman" w:cs="TimesNewRoman"/>
        </w:rPr>
      </w:pPr>
      <w:r>
        <w:rPr>
          <w:rFonts w:eastAsia="TimesNewRoman" w:cs="TimesNewRoman"/>
        </w:rPr>
        <w:t xml:space="preserve">              </w:t>
      </w:r>
      <w:r w:rsidRPr="00353D75">
        <w:rPr>
          <w:rFonts w:eastAsia="TimesNewRoman" w:cs="TimesNewRoman"/>
        </w:rPr>
        <w:t>plusvalenze dell’</w:t>
      </w:r>
      <w:r>
        <w:rPr>
          <w:rFonts w:eastAsia="TimesNewRoman" w:cs="TimesNewRoman"/>
        </w:rPr>
        <w:t>azienda stessa.</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L</w:t>
      </w:r>
      <w:r w:rsidRPr="00353D75">
        <w:rPr>
          <w:rFonts w:eastAsia="TimesNewRoman" w:cs="TimesNewRoman"/>
        </w:rPr>
        <w:t>’azienda è assunta ai medesimi valori fiscalmente riconosciut</w:t>
      </w:r>
      <w:r>
        <w:rPr>
          <w:rFonts w:eastAsia="TimesNewRoman" w:cs="TimesNewRoman"/>
        </w:rPr>
        <w:t>i nei confronti del dante causa.</w:t>
      </w:r>
    </w:p>
    <w:p w:rsidR="00353D75" w:rsidRPr="00353D75" w:rsidRDefault="00353D75" w:rsidP="00353D75">
      <w:pPr>
        <w:pStyle w:val="Paragrafoelenco"/>
        <w:numPr>
          <w:ilvl w:val="0"/>
          <w:numId w:val="16"/>
        </w:numPr>
        <w:autoSpaceDE w:val="0"/>
        <w:autoSpaceDN w:val="0"/>
        <w:adjustRightInd w:val="0"/>
        <w:spacing w:after="0" w:line="240" w:lineRule="auto"/>
        <w:rPr>
          <w:rFonts w:eastAsia="TimesNewRoman" w:cs="TimesNewRoman"/>
        </w:rPr>
      </w:pPr>
      <w:r>
        <w:rPr>
          <w:rFonts w:eastAsia="TimesNewRoman" w:cs="TimesNewRoman"/>
        </w:rPr>
        <w:t>L</w:t>
      </w:r>
      <w:r w:rsidRPr="00353D75">
        <w:rPr>
          <w:rFonts w:eastAsia="TimesNewRoman" w:cs="TimesNewRoman"/>
        </w:rPr>
        <w:t>e plusvalenze realizzate in caso di successiva cessione delle aziende acquisite a titolo gratuito</w:t>
      </w:r>
    </w:p>
    <w:p w:rsidR="005C77A5" w:rsidRPr="00C66BE9" w:rsidRDefault="00353D75" w:rsidP="00C4747D">
      <w:pPr>
        <w:rPr>
          <w:u w:val="single"/>
        </w:rPr>
      </w:pPr>
      <w:r>
        <w:rPr>
          <w:rFonts w:eastAsia="TimesNewRoman" w:cs="TimesNewRoman"/>
        </w:rPr>
        <w:t xml:space="preserve">              </w:t>
      </w:r>
      <w:r w:rsidRPr="00353D75">
        <w:rPr>
          <w:rFonts w:eastAsia="TimesNewRoman" w:cs="TimesNewRoman"/>
        </w:rPr>
        <w:t>costituiscono redditi diversi in capo agli eredi o donatari.</w:t>
      </w:r>
    </w:p>
    <w:p w:rsidR="00CA6910" w:rsidRDefault="00CA6910" w:rsidP="00C4747D"/>
    <w:p w:rsidR="007471E1" w:rsidRDefault="00A95245" w:rsidP="00C4747D">
      <w:pPr>
        <w:rPr>
          <w:u w:val="single"/>
        </w:rPr>
      </w:pPr>
      <w:r>
        <w:rPr>
          <w:u w:val="single"/>
        </w:rPr>
        <w:t>Accertamento – R</w:t>
      </w:r>
      <w:r w:rsidR="00CC08F2" w:rsidRPr="00CC08F2">
        <w:rPr>
          <w:u w:val="single"/>
        </w:rPr>
        <w:t>ettifica prezzo</w:t>
      </w:r>
    </w:p>
    <w:p w:rsidR="00EC7D50" w:rsidRPr="00C04A96" w:rsidRDefault="00EC7D50" w:rsidP="006255F6">
      <w:pPr>
        <w:pStyle w:val="Paragrafoelenco"/>
        <w:numPr>
          <w:ilvl w:val="0"/>
          <w:numId w:val="19"/>
        </w:numPr>
        <w:autoSpaceDE w:val="0"/>
        <w:autoSpaceDN w:val="0"/>
        <w:adjustRightInd w:val="0"/>
        <w:spacing w:after="0" w:line="240" w:lineRule="auto"/>
        <w:rPr>
          <w:rFonts w:cs="Times New Roman"/>
        </w:rPr>
      </w:pPr>
      <w:r w:rsidRPr="00C04A96">
        <w:t xml:space="preserve">Nelle operazioni di </w:t>
      </w:r>
      <w:r w:rsidR="007471E1" w:rsidRPr="00C04A96">
        <w:t xml:space="preserve">cessione di </w:t>
      </w:r>
      <w:r w:rsidR="00C04A96" w:rsidRPr="00C04A96">
        <w:t>azienda vi è un’elevata</w:t>
      </w:r>
      <w:r w:rsidRPr="00C04A96">
        <w:t xml:space="preserve"> probabilità di un’attività di accertamento da parte dell’Amministrazione Finanziaria.</w:t>
      </w:r>
    </w:p>
    <w:p w:rsidR="00C04A96" w:rsidRPr="00C04A96" w:rsidRDefault="00C04A96" w:rsidP="006255F6">
      <w:pPr>
        <w:pStyle w:val="Paragrafoelenco"/>
        <w:numPr>
          <w:ilvl w:val="0"/>
          <w:numId w:val="19"/>
        </w:numPr>
        <w:autoSpaceDE w:val="0"/>
        <w:autoSpaceDN w:val="0"/>
        <w:adjustRightInd w:val="0"/>
        <w:spacing w:after="0" w:line="240" w:lineRule="auto"/>
        <w:rPr>
          <w:rFonts w:cs="Times New Roman"/>
        </w:rPr>
      </w:pPr>
      <w:r w:rsidRPr="00C04A96">
        <w:t xml:space="preserve">L’Ufficio dell’Agenzia delle entrate, può accertare, nell’ambito delle imposte indirette, in capo al cessionario, il maggior valore venale dell’azienda ceduta. </w:t>
      </w:r>
    </w:p>
    <w:p w:rsidR="00C04A96" w:rsidRPr="00C04A96" w:rsidRDefault="00C04A96" w:rsidP="006255F6">
      <w:pPr>
        <w:pStyle w:val="Paragrafoelenco"/>
        <w:numPr>
          <w:ilvl w:val="0"/>
          <w:numId w:val="19"/>
        </w:numPr>
        <w:autoSpaceDE w:val="0"/>
        <w:autoSpaceDN w:val="0"/>
        <w:adjustRightInd w:val="0"/>
        <w:spacing w:after="0" w:line="240" w:lineRule="auto"/>
        <w:rPr>
          <w:rFonts w:cs="Times New Roman"/>
        </w:rPr>
      </w:pPr>
      <w:r w:rsidRPr="00C04A96">
        <w:t>A tale accertamento può far seguito un accertamento, nell’ambito delle imposte dirette, sul calcolo della plusvalenza o del ricavo ottenuto dal cedente.</w:t>
      </w:r>
    </w:p>
    <w:p w:rsidR="00C04A96" w:rsidRDefault="00C04A96" w:rsidP="00C04A96">
      <w:pPr>
        <w:pStyle w:val="Paragrafoelenco"/>
        <w:numPr>
          <w:ilvl w:val="0"/>
          <w:numId w:val="19"/>
        </w:numPr>
        <w:autoSpaceDE w:val="0"/>
        <w:autoSpaceDN w:val="0"/>
        <w:adjustRightInd w:val="0"/>
        <w:spacing w:after="0" w:line="240" w:lineRule="auto"/>
        <w:rPr>
          <w:rFonts w:cs="Times New Roman"/>
        </w:rPr>
      </w:pPr>
      <w:r w:rsidRPr="00C04A96">
        <w:t>Per quanto concerne il valore venale in comune commercio dell’azienda, esso ricomprende pure l’avviamento. È infatti su quest’ultimo che spesso si incentrano i contenziosi sul valore dell’azienda in quanto elemento dalla valutazione piuttosto discrezionale.</w:t>
      </w:r>
      <w:r>
        <w:rPr>
          <w:rFonts w:cs="Times New Roman"/>
        </w:rPr>
        <w:t xml:space="preserve"> </w:t>
      </w:r>
    </w:p>
    <w:p w:rsidR="00F67512" w:rsidRPr="00F03160" w:rsidRDefault="00C04A96" w:rsidP="00F67512">
      <w:pPr>
        <w:pStyle w:val="Paragrafoelenco"/>
        <w:numPr>
          <w:ilvl w:val="0"/>
          <w:numId w:val="19"/>
        </w:numPr>
        <w:autoSpaceDE w:val="0"/>
        <w:autoSpaceDN w:val="0"/>
        <w:adjustRightInd w:val="0"/>
        <w:spacing w:after="0" w:line="240" w:lineRule="auto"/>
        <w:rPr>
          <w:rFonts w:cs="Times New Roman"/>
        </w:rPr>
      </w:pPr>
      <w:r>
        <w:rPr>
          <w:sz w:val="23"/>
          <w:szCs w:val="23"/>
        </w:rPr>
        <w:t>La prassi dell’Amministrazione</w:t>
      </w:r>
      <w:r w:rsidR="00A66589">
        <w:rPr>
          <w:sz w:val="23"/>
          <w:szCs w:val="23"/>
        </w:rPr>
        <w:t xml:space="preserve">, è di utilizzare </w:t>
      </w:r>
      <w:r w:rsidR="00F67512">
        <w:rPr>
          <w:sz w:val="23"/>
          <w:szCs w:val="23"/>
        </w:rPr>
        <w:t>detto accertamento</w:t>
      </w:r>
      <w:r>
        <w:rPr>
          <w:sz w:val="23"/>
          <w:szCs w:val="23"/>
        </w:rPr>
        <w:t>, a carico del cessionario, come base (ed in alcuni casi come unica presunzione) per l’accertamento del maggior ricavo o della maggior plusvalenza a carico del cedente</w:t>
      </w:r>
      <w:r w:rsidR="00F03160">
        <w:rPr>
          <w:sz w:val="23"/>
          <w:szCs w:val="23"/>
        </w:rPr>
        <w:t xml:space="preserve">. </w:t>
      </w:r>
      <w:r w:rsidR="00F03160" w:rsidRPr="00F03160">
        <w:t>Ne consegue l’ inversione dell’onere della prova a carico del contribuente, senza l’onere a carico dell’Amministrazione di indagare sul reale corrispettivo effettivamente corrisposto</w:t>
      </w:r>
      <w:r w:rsidR="00F03160">
        <w:t>.</w:t>
      </w:r>
    </w:p>
    <w:p w:rsidR="008456EF" w:rsidRPr="00F67512" w:rsidRDefault="00911E34" w:rsidP="00C04A96">
      <w:pPr>
        <w:pStyle w:val="Paragrafoelenco"/>
        <w:numPr>
          <w:ilvl w:val="0"/>
          <w:numId w:val="19"/>
        </w:numPr>
        <w:autoSpaceDE w:val="0"/>
        <w:autoSpaceDN w:val="0"/>
        <w:adjustRightInd w:val="0"/>
        <w:spacing w:after="0" w:line="240" w:lineRule="auto"/>
        <w:rPr>
          <w:rFonts w:cs="Times New Roman"/>
        </w:rPr>
      </w:pPr>
      <w:r>
        <w:rPr>
          <w:sz w:val="23"/>
          <w:szCs w:val="23"/>
        </w:rPr>
        <w:t>Si tratta quindi di accertamenti effettuati nell’ambito dell’imposta di registro che vengono “traslati” nell’ambito delle imposte sui redditi e per di più coinvolgono due diversi soggetti (cedente e cessionario).</w:t>
      </w:r>
    </w:p>
    <w:p w:rsidR="00F67512" w:rsidRPr="00F67512" w:rsidRDefault="00F67512" w:rsidP="00F67512">
      <w:pPr>
        <w:pStyle w:val="Paragrafoelenco"/>
        <w:numPr>
          <w:ilvl w:val="0"/>
          <w:numId w:val="19"/>
        </w:numPr>
        <w:autoSpaceDE w:val="0"/>
        <w:autoSpaceDN w:val="0"/>
        <w:adjustRightInd w:val="0"/>
        <w:spacing w:after="0" w:line="240" w:lineRule="auto"/>
        <w:rPr>
          <w:rFonts w:cs="Times New Roman"/>
        </w:rPr>
      </w:pPr>
      <w:r>
        <w:rPr>
          <w:sz w:val="23"/>
          <w:szCs w:val="23"/>
        </w:rPr>
        <w:t>L’eventuale rivalutazione</w:t>
      </w:r>
      <w:r w:rsidR="00A66589">
        <w:rPr>
          <w:sz w:val="23"/>
          <w:szCs w:val="23"/>
        </w:rPr>
        <w:t xml:space="preserve"> però</w:t>
      </w:r>
      <w:r>
        <w:rPr>
          <w:sz w:val="23"/>
          <w:szCs w:val="23"/>
        </w:rPr>
        <w:t>, in ambito dell’imposta di registro, non è detto che debba influenzare</w:t>
      </w:r>
      <w:r w:rsidR="00014B9D">
        <w:rPr>
          <w:sz w:val="23"/>
          <w:szCs w:val="23"/>
        </w:rPr>
        <w:t xml:space="preserve"> pure</w:t>
      </w:r>
      <w:r>
        <w:rPr>
          <w:sz w:val="23"/>
          <w:szCs w:val="23"/>
        </w:rPr>
        <w:t xml:space="preserve"> il prezzo dell’azienda ceduta</w:t>
      </w:r>
      <w:r w:rsidRPr="00F67512">
        <w:rPr>
          <w:sz w:val="23"/>
          <w:szCs w:val="23"/>
        </w:rPr>
        <w:t xml:space="preserve">. </w:t>
      </w:r>
      <w:r>
        <w:rPr>
          <w:sz w:val="23"/>
          <w:szCs w:val="23"/>
        </w:rPr>
        <w:t>Il</w:t>
      </w:r>
      <w:r w:rsidRPr="00F67512">
        <w:rPr>
          <w:sz w:val="23"/>
          <w:szCs w:val="23"/>
        </w:rPr>
        <w:t xml:space="preserve"> prezzo</w:t>
      </w:r>
      <w:r>
        <w:rPr>
          <w:sz w:val="23"/>
          <w:szCs w:val="23"/>
        </w:rPr>
        <w:t>, infatti,</w:t>
      </w:r>
      <w:r w:rsidRPr="00F67512">
        <w:rPr>
          <w:sz w:val="23"/>
          <w:szCs w:val="23"/>
        </w:rPr>
        <w:t xml:space="preserve"> potrebbe essere influenzato anche da condizioni soggettive del cedente</w:t>
      </w:r>
      <w:r>
        <w:rPr>
          <w:sz w:val="23"/>
          <w:szCs w:val="23"/>
        </w:rPr>
        <w:t xml:space="preserve"> </w:t>
      </w:r>
      <w:r w:rsidR="00A66589">
        <w:rPr>
          <w:sz w:val="23"/>
          <w:szCs w:val="23"/>
        </w:rPr>
        <w:t>o da</w:t>
      </w:r>
      <w:r w:rsidRPr="00F67512">
        <w:rPr>
          <w:sz w:val="23"/>
          <w:szCs w:val="23"/>
        </w:rPr>
        <w:t xml:space="preserve"> rapporti di paren</w:t>
      </w:r>
      <w:r w:rsidR="00014B9D">
        <w:rPr>
          <w:sz w:val="23"/>
          <w:szCs w:val="23"/>
        </w:rPr>
        <w:t>tela tra venditore e compratore e quindi essere diverso dal valore venale.</w:t>
      </w:r>
    </w:p>
    <w:p w:rsidR="00552304" w:rsidRPr="00014B9D" w:rsidRDefault="00F67512" w:rsidP="00552304">
      <w:pPr>
        <w:pStyle w:val="Paragrafoelenco"/>
        <w:numPr>
          <w:ilvl w:val="0"/>
          <w:numId w:val="19"/>
        </w:numPr>
        <w:autoSpaceDE w:val="0"/>
        <w:autoSpaceDN w:val="0"/>
        <w:adjustRightInd w:val="0"/>
        <w:spacing w:after="0" w:line="240" w:lineRule="auto"/>
        <w:rPr>
          <w:rFonts w:cs="Times New Roman"/>
        </w:rPr>
      </w:pPr>
      <w:r>
        <w:rPr>
          <w:rFonts w:cs="Times New Roman"/>
        </w:rPr>
        <w:t>Il sopracitato</w:t>
      </w:r>
      <w:r w:rsidR="003623AA" w:rsidRPr="003623AA">
        <w:rPr>
          <w:rFonts w:cs="Times New Roman"/>
        </w:rPr>
        <w:t xml:space="preserve"> orient</w:t>
      </w:r>
      <w:r w:rsidR="00C81E7A">
        <w:rPr>
          <w:rFonts w:cs="Times New Roman"/>
        </w:rPr>
        <w:t>amento</w:t>
      </w:r>
      <w:r w:rsidR="00911E34">
        <w:rPr>
          <w:rFonts w:cs="Times New Roman"/>
        </w:rPr>
        <w:t xml:space="preserve"> </w:t>
      </w:r>
      <w:r w:rsidR="003623AA" w:rsidRPr="003623AA">
        <w:rPr>
          <w:rFonts w:cs="Times New Roman"/>
        </w:rPr>
        <w:t>è oggetto</w:t>
      </w:r>
      <w:r w:rsidR="003623AA">
        <w:rPr>
          <w:rFonts w:cs="Times New Roman"/>
        </w:rPr>
        <w:t xml:space="preserve"> </w:t>
      </w:r>
      <w:r w:rsidR="003623AA" w:rsidRPr="003623AA">
        <w:rPr>
          <w:rFonts w:cs="Times New Roman"/>
        </w:rPr>
        <w:t>di controversia</w:t>
      </w:r>
      <w:r w:rsidR="00C81E7A">
        <w:rPr>
          <w:rFonts w:cs="Times New Roman"/>
        </w:rPr>
        <w:t>.</w:t>
      </w:r>
      <w:r w:rsidR="00911E34">
        <w:rPr>
          <w:rFonts w:cs="Times New Roman"/>
        </w:rPr>
        <w:t xml:space="preserve"> </w:t>
      </w:r>
      <w:r w:rsidR="009A4CB0" w:rsidRPr="00911E34">
        <w:rPr>
          <w:rFonts w:cs="Times New Roman"/>
        </w:rPr>
        <w:t>Vi è infatti disaccordo tra Amministrazione Finanziaria e Giurisprudenza</w:t>
      </w:r>
      <w:r w:rsidR="00911E34">
        <w:rPr>
          <w:rFonts w:cs="Times New Roman"/>
        </w:rPr>
        <w:t>,</w:t>
      </w:r>
      <w:r w:rsidR="009A4CB0" w:rsidRPr="00911E34">
        <w:rPr>
          <w:rFonts w:cs="Times New Roman"/>
        </w:rPr>
        <w:t xml:space="preserve"> da un lato, e Dottrina</w:t>
      </w:r>
      <w:r w:rsidR="00911E34">
        <w:rPr>
          <w:rFonts w:cs="Times New Roman"/>
        </w:rPr>
        <w:t>,</w:t>
      </w:r>
      <w:r w:rsidR="009A4CB0" w:rsidRPr="00911E34">
        <w:rPr>
          <w:rFonts w:cs="Times New Roman"/>
        </w:rPr>
        <w:t xml:space="preserve"> dall’altro.</w:t>
      </w:r>
      <w:r w:rsidR="00552304">
        <w:rPr>
          <w:rFonts w:cs="Times New Roman"/>
        </w:rPr>
        <w:t xml:space="preserve"> </w:t>
      </w:r>
    </w:p>
    <w:p w:rsidR="009C2ED7" w:rsidRPr="00E67529" w:rsidRDefault="00C81E7A" w:rsidP="00BA01C3">
      <w:pPr>
        <w:pStyle w:val="Paragrafoelenco"/>
        <w:numPr>
          <w:ilvl w:val="0"/>
          <w:numId w:val="19"/>
        </w:numPr>
        <w:autoSpaceDE w:val="0"/>
        <w:autoSpaceDN w:val="0"/>
        <w:adjustRightInd w:val="0"/>
        <w:spacing w:after="0" w:line="240" w:lineRule="auto"/>
        <w:rPr>
          <w:rFonts w:cs="Times New Roman"/>
          <w:i/>
          <w:iCs/>
        </w:rPr>
      </w:pPr>
      <w:r w:rsidRPr="009A4CB0">
        <w:rPr>
          <w:rFonts w:cs="Times New Roman"/>
        </w:rPr>
        <w:t xml:space="preserve">L’Assoc. Italiana Dottori Commercialisti, a tal proposito, con la norma di comportamento n° 147 </w:t>
      </w:r>
      <w:r w:rsidRPr="00E67529">
        <w:rPr>
          <w:rFonts w:cs="Times New Roman"/>
        </w:rPr>
        <w:t xml:space="preserve">afferma che, </w:t>
      </w:r>
      <w:r w:rsidRPr="00E67529">
        <w:rPr>
          <w:rFonts w:cs="Times New Roman"/>
          <w:i/>
          <w:iCs/>
        </w:rPr>
        <w:t>in caso di cessione di azienda la definizione di un maggior valore ai fini dell’imposta di registro non assume automatica efficacia ai fini delle imposte sui redditi.</w:t>
      </w:r>
    </w:p>
    <w:p w:rsidR="00183B03" w:rsidRPr="00A66589" w:rsidRDefault="00BA01C3" w:rsidP="00BA01C3">
      <w:pPr>
        <w:pStyle w:val="Paragrafoelenco"/>
        <w:numPr>
          <w:ilvl w:val="0"/>
          <w:numId w:val="19"/>
        </w:numPr>
        <w:rPr>
          <w:i/>
          <w:u w:val="single"/>
        </w:rPr>
      </w:pPr>
      <w:r w:rsidRPr="00E67529">
        <w:t xml:space="preserve">Il legislatore interviene in materia e con il Decreto Legislativo n. 147/2015, all’art. 5, comma 3, afferma </w:t>
      </w:r>
      <w:r w:rsidRPr="00A66589">
        <w:rPr>
          <w:i/>
        </w:rPr>
        <w:t xml:space="preserve">che </w:t>
      </w:r>
      <w:r w:rsidR="00E7545A" w:rsidRPr="00A66589">
        <w:rPr>
          <w:i/>
        </w:rPr>
        <w:t>per le cessioni di aziende l'esistenza di</w:t>
      </w:r>
      <w:r w:rsidRPr="00A66589">
        <w:rPr>
          <w:i/>
        </w:rPr>
        <w:t xml:space="preserve"> un maggior corrispettivo non è</w:t>
      </w:r>
      <w:r w:rsidR="00E7545A" w:rsidRPr="00A66589">
        <w:rPr>
          <w:i/>
        </w:rPr>
        <w:t xml:space="preserve"> presumibile soltanto sulla base del valore anche se dichiarato, accertato o definito ai fini dell'imposta di registro</w:t>
      </w:r>
      <w:r w:rsidRPr="00A66589">
        <w:rPr>
          <w:i/>
        </w:rPr>
        <w:t>.</w:t>
      </w:r>
    </w:p>
    <w:p w:rsidR="00CC08F2" w:rsidRPr="00CC08F2" w:rsidRDefault="00CC08F2" w:rsidP="00C4747D">
      <w:pPr>
        <w:rPr>
          <w:u w:val="single"/>
        </w:rPr>
      </w:pPr>
    </w:p>
    <w:p w:rsidR="005C77A5" w:rsidRPr="007B0B68" w:rsidRDefault="005C77A5" w:rsidP="00C4747D"/>
    <w:p w:rsidR="005A7E30" w:rsidRPr="007B0B68" w:rsidRDefault="005A7E30" w:rsidP="00C4747D"/>
    <w:p w:rsidR="00E50111" w:rsidRDefault="00E50111"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CA6910" w:rsidRDefault="00CA6910" w:rsidP="00C9399A">
      <w:pPr>
        <w:rPr>
          <w:b/>
        </w:rPr>
      </w:pPr>
    </w:p>
    <w:p w:rsidR="00F03160" w:rsidRDefault="00F03160" w:rsidP="00CC2B82">
      <w:pPr>
        <w:rPr>
          <w:b/>
        </w:rPr>
      </w:pPr>
    </w:p>
    <w:p w:rsidR="00CC2B82" w:rsidRPr="00CC2B82" w:rsidRDefault="0029395E" w:rsidP="00CC2B82">
      <w:pPr>
        <w:rPr>
          <w:b/>
        </w:rPr>
      </w:pPr>
      <w:r w:rsidRPr="0029395E">
        <w:rPr>
          <w:b/>
        </w:rPr>
        <w:lastRenderedPageBreak/>
        <w:t>SELEZIONE GIURISPRUDENZA</w:t>
      </w:r>
    </w:p>
    <w:p w:rsidR="00CC2B82" w:rsidRPr="00CC2B82" w:rsidRDefault="00CC2B82" w:rsidP="00CC2B82">
      <w:pPr>
        <w:spacing w:line="240" w:lineRule="auto"/>
      </w:pPr>
      <w:bookmarkStart w:id="0" w:name="_GoBack"/>
      <w:bookmarkEnd w:id="0"/>
    </w:p>
    <w:p w:rsidR="0029395E" w:rsidRPr="007471E1" w:rsidRDefault="0029395E" w:rsidP="0029395E">
      <w:pPr>
        <w:autoSpaceDE w:val="0"/>
        <w:autoSpaceDN w:val="0"/>
        <w:adjustRightInd w:val="0"/>
        <w:spacing w:after="0" w:line="240" w:lineRule="auto"/>
        <w:rPr>
          <w:rFonts w:cs="Arial"/>
          <w:b/>
          <w:bCs/>
        </w:rPr>
      </w:pPr>
      <w:r w:rsidRPr="007471E1">
        <w:rPr>
          <w:rFonts w:cs="Arial"/>
          <w:b/>
          <w:bCs/>
        </w:rPr>
        <w:t>Cass. civ. Sez. V, 27-05-2015, n. 10927 (rv. 635589)</w:t>
      </w:r>
    </w:p>
    <w:p w:rsidR="0029395E" w:rsidRPr="00794222" w:rsidRDefault="0029395E" w:rsidP="0029395E">
      <w:pPr>
        <w:autoSpaceDE w:val="0"/>
        <w:autoSpaceDN w:val="0"/>
        <w:adjustRightInd w:val="0"/>
        <w:spacing w:after="0" w:line="240" w:lineRule="auto"/>
        <w:rPr>
          <w:rFonts w:cs="Arial"/>
          <w:b/>
          <w:bCs/>
        </w:rPr>
      </w:pPr>
      <w:r w:rsidRPr="00794222">
        <w:rPr>
          <w:rFonts w:cs="Arial"/>
          <w:b/>
          <w:bCs/>
        </w:rPr>
        <w:t>IMPOSTA REDDITO PERSONE FISICHE E GIURIDICHE</w:t>
      </w:r>
    </w:p>
    <w:p w:rsidR="00D5204E" w:rsidRDefault="00D5204E" w:rsidP="0029395E">
      <w:pPr>
        <w:autoSpaceDE w:val="0"/>
        <w:autoSpaceDN w:val="0"/>
        <w:adjustRightInd w:val="0"/>
        <w:spacing w:after="0" w:line="240" w:lineRule="auto"/>
        <w:rPr>
          <w:rFonts w:cs="Arial"/>
        </w:rPr>
      </w:pPr>
    </w:p>
    <w:p w:rsidR="00FD0D43" w:rsidRDefault="0029395E" w:rsidP="0029395E">
      <w:pPr>
        <w:autoSpaceDE w:val="0"/>
        <w:autoSpaceDN w:val="0"/>
        <w:adjustRightInd w:val="0"/>
        <w:spacing w:after="0" w:line="240" w:lineRule="auto"/>
        <w:rPr>
          <w:rFonts w:cs="Arial"/>
        </w:rPr>
      </w:pPr>
      <w:r w:rsidRPr="00794222">
        <w:rPr>
          <w:rFonts w:cs="Arial"/>
        </w:rPr>
        <w:t>In tema d'imposta sui redditi, in ipotesi di cessione d'azienda (o di un ramo di essa), la passività costituita dall'entità del trattamento di fine rapporto di lavoro subordinato dei dipendenti trasferiti e/o dall'indennità di preavviso e suppletiva di clientela degli agenti, che matura come tale in capo al cedente e, con la stessa natura, è trasferita al cessionario, è ontologicamente diversa dall'avviamento, il cui valore costituisce un elemento patrimoniale attivo per il solo acquirente, trovando la sua causa genetica nella sua acquisizione a titolo oneroso. Ne consegue che a tale passività non può esser</w:t>
      </w:r>
      <w:r w:rsidR="00314776">
        <w:rPr>
          <w:rFonts w:cs="Arial"/>
        </w:rPr>
        <w:t xml:space="preserve">e esteso il trattamento fiscale </w:t>
      </w:r>
      <w:r w:rsidRPr="00794222">
        <w:rPr>
          <w:rFonts w:cs="Arial"/>
        </w:rPr>
        <w:t>dell'avviamento e, quindi, il costo per essa sopportato non può essere oggetto di ammortamento, secondo le regole previste dall'art. 75 (ora 109) del d.P.R. 22 dicembre 1986, n. 917.</w:t>
      </w:r>
    </w:p>
    <w:p w:rsidR="0029395E" w:rsidRDefault="0029395E" w:rsidP="0029395E">
      <w:pPr>
        <w:autoSpaceDE w:val="0"/>
        <w:autoSpaceDN w:val="0"/>
        <w:adjustRightInd w:val="0"/>
        <w:spacing w:after="0" w:line="240" w:lineRule="auto"/>
        <w:rPr>
          <w:rFonts w:cs="Arial"/>
        </w:rPr>
      </w:pPr>
      <w:r w:rsidRPr="00794222">
        <w:rPr>
          <w:rFonts w:cs="Arial"/>
        </w:rPr>
        <w:t>(Cassa con rinvio, Comm. Trib. Reg. dell'Emilia Romagna, sez.dist. di Parma, 04/12/2008)</w:t>
      </w:r>
    </w:p>
    <w:p w:rsidR="00FD0D43" w:rsidRDefault="00FD0D43" w:rsidP="0029395E">
      <w:pPr>
        <w:autoSpaceDE w:val="0"/>
        <w:autoSpaceDN w:val="0"/>
        <w:adjustRightInd w:val="0"/>
        <w:spacing w:after="0" w:line="240" w:lineRule="auto"/>
        <w:rPr>
          <w:rFonts w:cs="Arial"/>
        </w:rPr>
      </w:pPr>
    </w:p>
    <w:p w:rsidR="00FD0D43" w:rsidRPr="00794222" w:rsidRDefault="00FD0D43" w:rsidP="0029395E">
      <w:pPr>
        <w:autoSpaceDE w:val="0"/>
        <w:autoSpaceDN w:val="0"/>
        <w:adjustRightInd w:val="0"/>
        <w:spacing w:after="0" w:line="240" w:lineRule="auto"/>
        <w:rPr>
          <w:rFonts w:cs="Arial"/>
        </w:rPr>
      </w:pPr>
    </w:p>
    <w:p w:rsidR="00FD0D43" w:rsidRPr="002C3840" w:rsidRDefault="00FD0D43" w:rsidP="00FD0D43">
      <w:pPr>
        <w:autoSpaceDE w:val="0"/>
        <w:autoSpaceDN w:val="0"/>
        <w:adjustRightInd w:val="0"/>
        <w:spacing w:after="0" w:line="240" w:lineRule="auto"/>
        <w:rPr>
          <w:rFonts w:cs="Arial"/>
          <w:b/>
          <w:lang w:val="en-US"/>
        </w:rPr>
      </w:pPr>
      <w:r w:rsidRPr="002C3840">
        <w:rPr>
          <w:rFonts w:cs="Arial"/>
          <w:b/>
          <w:lang w:val="en-US"/>
        </w:rPr>
        <w:t>Cass. civ. Sez. V, 06-05-2015, n. 9075 (rv. 635944)</w:t>
      </w:r>
    </w:p>
    <w:p w:rsidR="00FD0D43" w:rsidRPr="00FD0D43" w:rsidRDefault="00FD0D43" w:rsidP="00FD0D43">
      <w:pPr>
        <w:autoSpaceDE w:val="0"/>
        <w:autoSpaceDN w:val="0"/>
        <w:adjustRightInd w:val="0"/>
        <w:spacing w:after="0" w:line="240" w:lineRule="auto"/>
        <w:rPr>
          <w:rFonts w:cs="Arial"/>
          <w:b/>
        </w:rPr>
      </w:pPr>
      <w:r w:rsidRPr="00FD0D43">
        <w:rPr>
          <w:rFonts w:cs="Arial"/>
          <w:b/>
        </w:rPr>
        <w:t>IMPOSTA REGISTRO</w:t>
      </w:r>
    </w:p>
    <w:p w:rsidR="00FD0D43" w:rsidRPr="00C267C9" w:rsidRDefault="00FD0D43" w:rsidP="00FD0D43">
      <w:pPr>
        <w:autoSpaceDE w:val="0"/>
        <w:autoSpaceDN w:val="0"/>
        <w:adjustRightInd w:val="0"/>
        <w:spacing w:after="0" w:line="240" w:lineRule="auto"/>
        <w:rPr>
          <w:rFonts w:cs="Arial"/>
          <w:i/>
        </w:rPr>
      </w:pPr>
      <w:r w:rsidRPr="00C267C9">
        <w:rPr>
          <w:rFonts w:cs="Arial"/>
          <w:i/>
        </w:rPr>
        <w:t>Base imponibile</w:t>
      </w:r>
    </w:p>
    <w:p w:rsidR="00C267C9" w:rsidRDefault="00C267C9" w:rsidP="00FD0D43">
      <w:pPr>
        <w:autoSpaceDE w:val="0"/>
        <w:autoSpaceDN w:val="0"/>
        <w:adjustRightInd w:val="0"/>
        <w:spacing w:after="0" w:line="240" w:lineRule="auto"/>
        <w:rPr>
          <w:rFonts w:cs="Arial"/>
        </w:rPr>
      </w:pPr>
    </w:p>
    <w:p w:rsidR="00FD0D43" w:rsidRDefault="00FD0D43" w:rsidP="00FD0D43">
      <w:pPr>
        <w:autoSpaceDE w:val="0"/>
        <w:autoSpaceDN w:val="0"/>
        <w:adjustRightInd w:val="0"/>
        <w:spacing w:after="0" w:line="240" w:lineRule="auto"/>
        <w:rPr>
          <w:rFonts w:cs="Arial"/>
        </w:rPr>
      </w:pPr>
      <w:r w:rsidRPr="00FD0D43">
        <w:rPr>
          <w:rFonts w:cs="Arial"/>
        </w:rPr>
        <w:t xml:space="preserve">In tema di imposta di registro in caso di cessione d'azienda o di ramo di essa (nella specie, di </w:t>
      </w:r>
      <w:r>
        <w:rPr>
          <w:rFonts w:cs="Arial"/>
        </w:rPr>
        <w:t xml:space="preserve">un complesso svolgente attività </w:t>
      </w:r>
      <w:r w:rsidRPr="00FD0D43">
        <w:rPr>
          <w:rFonts w:cs="Arial"/>
        </w:rPr>
        <w:t>bancaria), la scelta, ai fini della determinazione del valore dell'azienda e, dunque, della base imponib</w:t>
      </w:r>
      <w:r>
        <w:rPr>
          <w:rFonts w:cs="Arial"/>
        </w:rPr>
        <w:t>ile, tra il metodo patrimoniale semplice</w:t>
      </w:r>
      <w:r w:rsidRPr="00FD0D43">
        <w:rPr>
          <w:rFonts w:cs="Arial"/>
        </w:rPr>
        <w:t xml:space="preserve"> che considera l'azienda come un insieme mero di attività e passività e postula, quindi, l'ine</w:t>
      </w:r>
      <w:r>
        <w:rPr>
          <w:rFonts w:cs="Arial"/>
        </w:rPr>
        <w:t>sistenza dell'avviamento  e il metodo patrimoniale complesso</w:t>
      </w:r>
      <w:r w:rsidRPr="00FD0D43">
        <w:rPr>
          <w:rFonts w:cs="Arial"/>
        </w:rPr>
        <w:t xml:space="preserve"> che integra il primo, considerando quei fattori (ossia le plusvalenz</w:t>
      </w:r>
      <w:r>
        <w:rPr>
          <w:rFonts w:cs="Arial"/>
        </w:rPr>
        <w:t xml:space="preserve">e da beni immateriali come pure </w:t>
      </w:r>
      <w:r w:rsidRPr="00FD0D43">
        <w:rPr>
          <w:rFonts w:cs="Arial"/>
        </w:rPr>
        <w:t>dal know-how aziendale, dalla formazione del personale ed altro) che, ne</w:t>
      </w:r>
      <w:r>
        <w:rPr>
          <w:rFonts w:cs="Arial"/>
        </w:rPr>
        <w:t xml:space="preserve">l loro complesso, rappresentano l'avviamento, il quale, </w:t>
      </w:r>
      <w:r w:rsidRPr="00FD0D43">
        <w:rPr>
          <w:rFonts w:cs="Arial"/>
        </w:rPr>
        <w:t xml:space="preserve">pertanto, resta compreso nel trasferimento e soggetto all'imposta ai sensi dell'art. 51, comma 4, del </w:t>
      </w:r>
      <w:r>
        <w:rPr>
          <w:rFonts w:cs="Arial"/>
        </w:rPr>
        <w:t xml:space="preserve">d.P.R. 26 aprile 1986, n. 131 </w:t>
      </w:r>
      <w:r w:rsidRPr="00FD0D43">
        <w:rPr>
          <w:rFonts w:cs="Arial"/>
        </w:rPr>
        <w:t>costituisce oggetto di un giudizio di fatto</w:t>
      </w:r>
      <w:r>
        <w:rPr>
          <w:rFonts w:cs="Arial"/>
        </w:rPr>
        <w:t xml:space="preserve">, rimesso al giudice </w:t>
      </w:r>
      <w:r w:rsidRPr="00FD0D43">
        <w:rPr>
          <w:rFonts w:cs="Arial"/>
        </w:rPr>
        <w:t xml:space="preserve">di merito ed incensurabile in sede </w:t>
      </w:r>
      <w:r>
        <w:rPr>
          <w:rFonts w:cs="Arial"/>
        </w:rPr>
        <w:t xml:space="preserve">di legittimità se adeguatamente </w:t>
      </w:r>
      <w:r w:rsidRPr="00FD0D43">
        <w:rPr>
          <w:rFonts w:cs="Arial"/>
        </w:rPr>
        <w:t xml:space="preserve">motivato, trattandosi, in ogni caso, di criteri idonei ad apprezzare il congruo valore economico di scambio. </w:t>
      </w:r>
    </w:p>
    <w:p w:rsidR="005C77A5" w:rsidRPr="00FD0D43" w:rsidRDefault="00FD0D43" w:rsidP="00FD0D43">
      <w:pPr>
        <w:autoSpaceDE w:val="0"/>
        <w:autoSpaceDN w:val="0"/>
        <w:adjustRightInd w:val="0"/>
        <w:spacing w:after="0" w:line="240" w:lineRule="auto"/>
        <w:rPr>
          <w:rFonts w:cs="Arial"/>
        </w:rPr>
      </w:pPr>
      <w:r>
        <w:rPr>
          <w:rFonts w:cs="Arial"/>
        </w:rPr>
        <w:t xml:space="preserve">(Rigetta, Comm. Trib. Reg. </w:t>
      </w:r>
      <w:r w:rsidRPr="00FD0D43">
        <w:rPr>
          <w:rFonts w:cs="Arial"/>
        </w:rPr>
        <w:t>Lombardia, 14/07/2010)</w:t>
      </w:r>
    </w:p>
    <w:p w:rsidR="005C77A5" w:rsidRPr="002C3840" w:rsidRDefault="005C77A5" w:rsidP="0029395E">
      <w:pPr>
        <w:autoSpaceDE w:val="0"/>
        <w:autoSpaceDN w:val="0"/>
        <w:adjustRightInd w:val="0"/>
        <w:spacing w:after="0" w:line="240" w:lineRule="auto"/>
        <w:rPr>
          <w:rFonts w:cs="Arial"/>
          <w:b/>
          <w:bCs/>
        </w:rPr>
      </w:pPr>
    </w:p>
    <w:p w:rsidR="00397740" w:rsidRPr="002C3840" w:rsidRDefault="00397740" w:rsidP="00397740">
      <w:pPr>
        <w:autoSpaceDE w:val="0"/>
        <w:autoSpaceDN w:val="0"/>
        <w:adjustRightInd w:val="0"/>
        <w:spacing w:after="0" w:line="240" w:lineRule="auto"/>
        <w:rPr>
          <w:rFonts w:cs="Arial"/>
          <w:b/>
          <w:bCs/>
        </w:rPr>
      </w:pPr>
    </w:p>
    <w:p w:rsidR="00397740" w:rsidRPr="00397740" w:rsidRDefault="00397740" w:rsidP="00397740">
      <w:pPr>
        <w:autoSpaceDE w:val="0"/>
        <w:autoSpaceDN w:val="0"/>
        <w:adjustRightInd w:val="0"/>
        <w:spacing w:after="0" w:line="240" w:lineRule="auto"/>
        <w:rPr>
          <w:rFonts w:cs="Arial"/>
          <w:b/>
          <w:bCs/>
          <w:lang w:val="en-US"/>
        </w:rPr>
      </w:pPr>
      <w:r w:rsidRPr="00397740">
        <w:rPr>
          <w:rFonts w:cs="Arial"/>
          <w:b/>
          <w:bCs/>
          <w:lang w:val="en-US"/>
        </w:rPr>
        <w:t>Cass. civ. Sez. V, 04-11-2015, n. 22506 (rv. 637075)</w:t>
      </w:r>
    </w:p>
    <w:p w:rsidR="00C267C9" w:rsidRPr="002C3840" w:rsidRDefault="00C267C9" w:rsidP="00397740">
      <w:pPr>
        <w:autoSpaceDE w:val="0"/>
        <w:autoSpaceDN w:val="0"/>
        <w:adjustRightInd w:val="0"/>
        <w:spacing w:after="0" w:line="240" w:lineRule="auto"/>
        <w:rPr>
          <w:rFonts w:cs="Arial"/>
          <w:lang w:val="en-US"/>
        </w:rPr>
      </w:pPr>
    </w:p>
    <w:p w:rsidR="00397740" w:rsidRDefault="00397740" w:rsidP="00397740">
      <w:pPr>
        <w:autoSpaceDE w:val="0"/>
        <w:autoSpaceDN w:val="0"/>
        <w:adjustRightInd w:val="0"/>
        <w:spacing w:after="0" w:line="240" w:lineRule="auto"/>
        <w:rPr>
          <w:rFonts w:cs="Arial"/>
        </w:rPr>
      </w:pPr>
      <w:r w:rsidRPr="00397740">
        <w:rPr>
          <w:rFonts w:cs="Arial"/>
        </w:rPr>
        <w:t xml:space="preserve">In tema d'imposta di registro su cessione di azienda, l'esistenza di un valore di avviamento, costituente </w:t>
      </w:r>
      <w:r>
        <w:rPr>
          <w:rFonts w:cs="Arial"/>
        </w:rPr>
        <w:t xml:space="preserve">oggetto di un giudizio di fatto </w:t>
      </w:r>
      <w:r w:rsidRPr="00397740">
        <w:rPr>
          <w:rFonts w:cs="Arial"/>
        </w:rPr>
        <w:t>rimesso al prudente apprezzamento del giudice di merito, non può essere esclusa sulla base della</w:t>
      </w:r>
      <w:r>
        <w:rPr>
          <w:rFonts w:cs="Arial"/>
        </w:rPr>
        <w:t xml:space="preserve"> sola circostanza che l'impresa </w:t>
      </w:r>
      <w:r w:rsidRPr="00397740">
        <w:rPr>
          <w:rFonts w:cs="Arial"/>
        </w:rPr>
        <w:t xml:space="preserve">abbia subito delle perdite negli esercizi degli anni precedenti e di quelli successivi. </w:t>
      </w:r>
    </w:p>
    <w:p w:rsidR="005C77A5" w:rsidRPr="00397740" w:rsidRDefault="00397740" w:rsidP="00397740">
      <w:pPr>
        <w:autoSpaceDE w:val="0"/>
        <w:autoSpaceDN w:val="0"/>
        <w:adjustRightInd w:val="0"/>
        <w:spacing w:after="0" w:line="240" w:lineRule="auto"/>
        <w:rPr>
          <w:rFonts w:cs="Arial"/>
        </w:rPr>
      </w:pPr>
      <w:r w:rsidRPr="00397740">
        <w:rPr>
          <w:rFonts w:cs="Arial"/>
        </w:rPr>
        <w:t>(Cassa con rin</w:t>
      </w:r>
      <w:r>
        <w:rPr>
          <w:rFonts w:cs="Arial"/>
        </w:rPr>
        <w:t xml:space="preserve">vio, Comm. Trib. Centrale Roma, </w:t>
      </w:r>
      <w:r w:rsidRPr="00397740">
        <w:rPr>
          <w:rFonts w:cs="Arial"/>
        </w:rPr>
        <w:t>31/07/2009)</w:t>
      </w:r>
    </w:p>
    <w:p w:rsidR="00397740" w:rsidRDefault="00397740" w:rsidP="0029395E">
      <w:pPr>
        <w:autoSpaceDE w:val="0"/>
        <w:autoSpaceDN w:val="0"/>
        <w:adjustRightInd w:val="0"/>
        <w:spacing w:after="0" w:line="240" w:lineRule="auto"/>
        <w:rPr>
          <w:rFonts w:cs="Arial"/>
        </w:rPr>
      </w:pPr>
    </w:p>
    <w:p w:rsidR="00A75DD1" w:rsidRDefault="00A75DD1" w:rsidP="0029395E">
      <w:pPr>
        <w:autoSpaceDE w:val="0"/>
        <w:autoSpaceDN w:val="0"/>
        <w:adjustRightInd w:val="0"/>
        <w:spacing w:after="0" w:line="240" w:lineRule="auto"/>
        <w:rPr>
          <w:rFonts w:cs="Arial"/>
        </w:rPr>
      </w:pPr>
    </w:p>
    <w:p w:rsidR="00185BDF" w:rsidRPr="00967960" w:rsidRDefault="00185BDF" w:rsidP="00185BDF">
      <w:pPr>
        <w:autoSpaceDE w:val="0"/>
        <w:autoSpaceDN w:val="0"/>
        <w:adjustRightInd w:val="0"/>
        <w:spacing w:after="0" w:line="240" w:lineRule="auto"/>
        <w:rPr>
          <w:rFonts w:cs="Arial"/>
          <w:b/>
          <w:bCs/>
        </w:rPr>
      </w:pPr>
      <w:r w:rsidRPr="00967960">
        <w:rPr>
          <w:rFonts w:cs="Arial"/>
          <w:b/>
          <w:bCs/>
        </w:rPr>
        <w:t>Cass. civ. Sez. V, 01-10-2015, n. 19622 (rv. 636608)</w:t>
      </w:r>
    </w:p>
    <w:p w:rsidR="00185BDF" w:rsidRPr="00185BDF" w:rsidRDefault="00185BDF" w:rsidP="00185BDF">
      <w:pPr>
        <w:autoSpaceDE w:val="0"/>
        <w:autoSpaceDN w:val="0"/>
        <w:adjustRightInd w:val="0"/>
        <w:spacing w:after="0" w:line="240" w:lineRule="auto"/>
        <w:rPr>
          <w:rFonts w:cs="Arial"/>
          <w:b/>
          <w:bCs/>
        </w:rPr>
      </w:pPr>
      <w:r w:rsidRPr="00185BDF">
        <w:rPr>
          <w:rFonts w:cs="Arial"/>
          <w:b/>
          <w:bCs/>
        </w:rPr>
        <w:t>IMPOSTA REDDITO PERSONE FISICHE E GIURIDICHE</w:t>
      </w:r>
    </w:p>
    <w:p w:rsidR="00A75DD1" w:rsidRDefault="00A75DD1" w:rsidP="00185BDF">
      <w:pPr>
        <w:autoSpaceDE w:val="0"/>
        <w:autoSpaceDN w:val="0"/>
        <w:adjustRightInd w:val="0"/>
        <w:spacing w:after="0" w:line="240" w:lineRule="auto"/>
        <w:rPr>
          <w:rFonts w:ascii="Calibri" w:hAnsi="Calibri" w:cs="Arial"/>
          <w:szCs w:val="18"/>
        </w:rPr>
      </w:pPr>
    </w:p>
    <w:p w:rsidR="00185BDF" w:rsidRDefault="00185BDF" w:rsidP="00185BDF">
      <w:pPr>
        <w:autoSpaceDE w:val="0"/>
        <w:autoSpaceDN w:val="0"/>
        <w:adjustRightInd w:val="0"/>
        <w:spacing w:after="0" w:line="240" w:lineRule="auto"/>
        <w:rPr>
          <w:rFonts w:ascii="Calibri" w:hAnsi="Calibri" w:cs="Arial"/>
          <w:szCs w:val="18"/>
        </w:rPr>
      </w:pPr>
      <w:r w:rsidRPr="00185BDF">
        <w:rPr>
          <w:rFonts w:ascii="Calibri" w:hAnsi="Calibri" w:cs="Arial"/>
          <w:szCs w:val="18"/>
        </w:rPr>
        <w:t>In tema di accertamento, ai fini IRPEF, delle plusvalenze patrimoniali realizzate a seguito di</w:t>
      </w:r>
      <w:r>
        <w:rPr>
          <w:rFonts w:ascii="Calibri" w:hAnsi="Calibri" w:cs="Arial"/>
          <w:szCs w:val="18"/>
        </w:rPr>
        <w:t xml:space="preserve"> cessione di azienda, il valore </w:t>
      </w:r>
      <w:r w:rsidRPr="00185BDF">
        <w:rPr>
          <w:rFonts w:ascii="Calibri" w:hAnsi="Calibri" w:cs="Arial"/>
          <w:szCs w:val="18"/>
        </w:rPr>
        <w:t>dell'avviamento, determinato in via definitiva ai fini dell'imposta di registro, assume carattere v</w:t>
      </w:r>
      <w:r>
        <w:rPr>
          <w:rFonts w:ascii="Calibri" w:hAnsi="Calibri" w:cs="Arial"/>
          <w:szCs w:val="18"/>
        </w:rPr>
        <w:t xml:space="preserve">incolante per l'Amministrazione </w:t>
      </w:r>
      <w:r w:rsidRPr="00185BDF">
        <w:rPr>
          <w:rFonts w:ascii="Calibri" w:hAnsi="Calibri" w:cs="Arial"/>
          <w:szCs w:val="18"/>
        </w:rPr>
        <w:t>finanziaria. Ne consegue che può legittimamente presumersi la corrispondenza di tale valore con il p</w:t>
      </w:r>
      <w:r>
        <w:rPr>
          <w:rFonts w:ascii="Calibri" w:hAnsi="Calibri" w:cs="Arial"/>
          <w:szCs w:val="18"/>
        </w:rPr>
        <w:t xml:space="preserve">rezzo reale, spettando, invece, </w:t>
      </w:r>
      <w:r w:rsidRPr="00185BDF">
        <w:rPr>
          <w:rFonts w:ascii="Calibri" w:hAnsi="Calibri" w:cs="Arial"/>
          <w:szCs w:val="18"/>
        </w:rPr>
        <w:t>al contribuente la prova del diverso valore in applicazione di un minor coefficiente legale di calcol</w:t>
      </w:r>
      <w:r>
        <w:rPr>
          <w:rFonts w:ascii="Calibri" w:hAnsi="Calibri" w:cs="Arial"/>
          <w:szCs w:val="18"/>
        </w:rPr>
        <w:t xml:space="preserve">o, sempre che si tratti di dati </w:t>
      </w:r>
      <w:r w:rsidRPr="00185BDF">
        <w:rPr>
          <w:rFonts w:ascii="Calibri" w:hAnsi="Calibri" w:cs="Arial"/>
          <w:szCs w:val="18"/>
        </w:rPr>
        <w:t xml:space="preserve">rigorosamente dimostrativi e fondati su riscontri obiettivi. </w:t>
      </w:r>
    </w:p>
    <w:p w:rsidR="005C77A5" w:rsidRDefault="00185BDF" w:rsidP="00185BDF">
      <w:pPr>
        <w:autoSpaceDE w:val="0"/>
        <w:autoSpaceDN w:val="0"/>
        <w:adjustRightInd w:val="0"/>
        <w:spacing w:after="0" w:line="240" w:lineRule="auto"/>
        <w:rPr>
          <w:rFonts w:ascii="Calibri" w:hAnsi="Calibri" w:cs="Arial"/>
          <w:szCs w:val="18"/>
        </w:rPr>
      </w:pPr>
      <w:r w:rsidRPr="00185BDF">
        <w:rPr>
          <w:rFonts w:ascii="Calibri" w:hAnsi="Calibri" w:cs="Arial"/>
          <w:szCs w:val="18"/>
        </w:rPr>
        <w:lastRenderedPageBreak/>
        <w:t>(Cassa con rinvio, Comm. Trib. Reg. Lombardia, 18/02/2009)</w:t>
      </w:r>
    </w:p>
    <w:p w:rsidR="00490AFD" w:rsidRDefault="00490AFD" w:rsidP="00185BDF">
      <w:pPr>
        <w:autoSpaceDE w:val="0"/>
        <w:autoSpaceDN w:val="0"/>
        <w:adjustRightInd w:val="0"/>
        <w:spacing w:after="0" w:line="240" w:lineRule="auto"/>
        <w:rPr>
          <w:rFonts w:ascii="Calibri" w:hAnsi="Calibri" w:cs="Arial"/>
          <w:szCs w:val="18"/>
        </w:rPr>
      </w:pPr>
    </w:p>
    <w:p w:rsidR="00490AFD" w:rsidRPr="00185BDF" w:rsidRDefault="00490AFD" w:rsidP="00185BDF">
      <w:pPr>
        <w:autoSpaceDE w:val="0"/>
        <w:autoSpaceDN w:val="0"/>
        <w:adjustRightInd w:val="0"/>
        <w:spacing w:after="0" w:line="240" w:lineRule="auto"/>
        <w:rPr>
          <w:rFonts w:ascii="Calibri" w:hAnsi="Calibri" w:cs="Arial"/>
          <w:szCs w:val="18"/>
        </w:rPr>
      </w:pPr>
    </w:p>
    <w:p w:rsidR="001F2099" w:rsidRPr="001F2099" w:rsidRDefault="001F2099" w:rsidP="001F2099">
      <w:pPr>
        <w:autoSpaceDE w:val="0"/>
        <w:autoSpaceDN w:val="0"/>
        <w:adjustRightInd w:val="0"/>
        <w:spacing w:after="0" w:line="240" w:lineRule="auto"/>
        <w:rPr>
          <w:rFonts w:cs="Arial"/>
          <w:b/>
          <w:bCs/>
        </w:rPr>
      </w:pPr>
      <w:r w:rsidRPr="001F2099">
        <w:rPr>
          <w:rFonts w:cs="Arial"/>
          <w:b/>
          <w:bCs/>
        </w:rPr>
        <w:t>Commiss. Trib. Reg. Lombardia Milano Sez. XXXVI, 27-10-2015</w:t>
      </w:r>
    </w:p>
    <w:p w:rsidR="001F2099" w:rsidRPr="001F2099" w:rsidRDefault="001F2099" w:rsidP="001F2099">
      <w:pPr>
        <w:autoSpaceDE w:val="0"/>
        <w:autoSpaceDN w:val="0"/>
        <w:adjustRightInd w:val="0"/>
        <w:spacing w:after="0" w:line="240" w:lineRule="auto"/>
        <w:rPr>
          <w:rFonts w:cs="Arial"/>
        </w:rPr>
      </w:pPr>
    </w:p>
    <w:p w:rsidR="001F2099" w:rsidRDefault="001F2099" w:rsidP="001F2099">
      <w:pPr>
        <w:autoSpaceDE w:val="0"/>
        <w:autoSpaceDN w:val="0"/>
        <w:adjustRightInd w:val="0"/>
        <w:spacing w:after="0" w:line="240" w:lineRule="auto"/>
        <w:rPr>
          <w:rFonts w:cs="Arial"/>
        </w:rPr>
      </w:pPr>
      <w:r w:rsidRPr="001F2099">
        <w:rPr>
          <w:rFonts w:cs="Arial"/>
        </w:rPr>
        <w:t>Il valore dell'avviamento è congruo solo quando è desunto dalla capacità di profitto dell'azienda appr</w:t>
      </w:r>
      <w:r>
        <w:rPr>
          <w:rFonts w:cs="Arial"/>
        </w:rPr>
        <w:t xml:space="preserve">ezzabile sulla base di indici o </w:t>
      </w:r>
      <w:r w:rsidRPr="001F2099">
        <w:rPr>
          <w:rFonts w:cs="Arial"/>
        </w:rPr>
        <w:t>criteri valutativi che tengano conto delle specifiche caratteristiche della stessa, ovvero della sua ubicazione, del gener</w:t>
      </w:r>
      <w:r>
        <w:rPr>
          <w:rFonts w:cs="Arial"/>
        </w:rPr>
        <w:t xml:space="preserve">e di attività </w:t>
      </w:r>
      <w:r w:rsidRPr="001F2099">
        <w:rPr>
          <w:rFonts w:cs="Arial"/>
        </w:rPr>
        <w:t>svolta e della clientela.</w:t>
      </w:r>
    </w:p>
    <w:p w:rsidR="001F2099" w:rsidRPr="001F2099" w:rsidRDefault="001F2099" w:rsidP="001F2099">
      <w:pPr>
        <w:autoSpaceDE w:val="0"/>
        <w:autoSpaceDN w:val="0"/>
        <w:adjustRightInd w:val="0"/>
        <w:spacing w:after="0" w:line="240" w:lineRule="auto"/>
        <w:rPr>
          <w:rFonts w:cs="Arial"/>
        </w:rPr>
      </w:pPr>
      <w:r w:rsidRPr="001F2099">
        <w:rPr>
          <w:rFonts w:cs="Arial"/>
        </w:rPr>
        <w:t>(Nel caso di specie la contribuente ricorre contro la sentenza di primo grado che ha avvalorato la</w:t>
      </w:r>
    </w:p>
    <w:p w:rsidR="001F2099" w:rsidRPr="001F2099" w:rsidRDefault="001F2099" w:rsidP="001F2099">
      <w:pPr>
        <w:autoSpaceDE w:val="0"/>
        <w:autoSpaceDN w:val="0"/>
        <w:adjustRightInd w:val="0"/>
        <w:spacing w:after="0" w:line="240" w:lineRule="auto"/>
        <w:rPr>
          <w:rFonts w:cs="Arial"/>
        </w:rPr>
      </w:pPr>
      <w:r w:rsidRPr="001F2099">
        <w:rPr>
          <w:rFonts w:cs="Arial"/>
        </w:rPr>
        <w:t>rideterminazione dell'avviamento effettuato dall'ufficio a seguito della cessione di azienda. Il fisco ridetermina il</w:t>
      </w:r>
      <w:r>
        <w:rPr>
          <w:rFonts w:cs="Arial"/>
        </w:rPr>
        <w:t xml:space="preserve"> valore dell'avviamento </w:t>
      </w:r>
      <w:r w:rsidRPr="001F2099">
        <w:rPr>
          <w:rFonts w:cs="Arial"/>
        </w:rPr>
        <w:t>applicando le percentuali di redditività alla media dei ricavi conseguiti nel triennio. La contribuente riti</w:t>
      </w:r>
      <w:r>
        <w:rPr>
          <w:rFonts w:cs="Arial"/>
        </w:rPr>
        <w:t xml:space="preserve">ene che non si sia tenuto conto </w:t>
      </w:r>
      <w:r w:rsidRPr="001F2099">
        <w:rPr>
          <w:rFonts w:cs="Arial"/>
        </w:rPr>
        <w:t>delle reali caratteristiche dell'azienda acquistata caratterizzata da un forte indebitamento e da una pessima gestione da parte dei</w:t>
      </w:r>
    </w:p>
    <w:p w:rsidR="001F2099" w:rsidRDefault="001F2099" w:rsidP="001F2099">
      <w:pPr>
        <w:autoSpaceDE w:val="0"/>
        <w:autoSpaceDN w:val="0"/>
        <w:adjustRightInd w:val="0"/>
        <w:spacing w:after="0" w:line="240" w:lineRule="auto"/>
        <w:rPr>
          <w:rFonts w:cs="Arial"/>
        </w:rPr>
      </w:pPr>
      <w:r w:rsidRPr="001F2099">
        <w:rPr>
          <w:rFonts w:cs="Arial"/>
        </w:rPr>
        <w:t>precedenti titolari. La Ctr accoglie l'appello della contribuente.).</w:t>
      </w:r>
    </w:p>
    <w:p w:rsidR="001F2099" w:rsidRDefault="001F2099" w:rsidP="001F2099">
      <w:pPr>
        <w:autoSpaceDE w:val="0"/>
        <w:autoSpaceDN w:val="0"/>
        <w:adjustRightInd w:val="0"/>
        <w:spacing w:after="0" w:line="240" w:lineRule="auto"/>
        <w:rPr>
          <w:rFonts w:cs="Arial"/>
        </w:rPr>
      </w:pPr>
    </w:p>
    <w:p w:rsidR="001F2099" w:rsidRDefault="001F2099" w:rsidP="001F2099">
      <w:pPr>
        <w:autoSpaceDE w:val="0"/>
        <w:autoSpaceDN w:val="0"/>
        <w:adjustRightInd w:val="0"/>
        <w:spacing w:after="0" w:line="240" w:lineRule="auto"/>
        <w:rPr>
          <w:rFonts w:cs="Arial"/>
        </w:rPr>
      </w:pPr>
    </w:p>
    <w:p w:rsidR="001F2099" w:rsidRDefault="001F2099" w:rsidP="001F2099">
      <w:pPr>
        <w:autoSpaceDE w:val="0"/>
        <w:autoSpaceDN w:val="0"/>
        <w:adjustRightInd w:val="0"/>
        <w:spacing w:after="0" w:line="240" w:lineRule="auto"/>
        <w:rPr>
          <w:rFonts w:cs="Arial"/>
        </w:rPr>
      </w:pPr>
      <w:r w:rsidRPr="001F2099">
        <w:rPr>
          <w:rFonts w:cs="Arial"/>
          <w:b/>
          <w:bCs/>
        </w:rPr>
        <w:t>Commiss. Trib. Reg. Lazio Roma Sez. XIV, 16-04-2015</w:t>
      </w:r>
    </w:p>
    <w:p w:rsidR="001F2099" w:rsidRDefault="001F2099" w:rsidP="001F2099">
      <w:pPr>
        <w:autoSpaceDE w:val="0"/>
        <w:autoSpaceDN w:val="0"/>
        <w:adjustRightInd w:val="0"/>
        <w:spacing w:after="0" w:line="240" w:lineRule="auto"/>
        <w:rPr>
          <w:rFonts w:cs="Arial"/>
        </w:rPr>
      </w:pPr>
    </w:p>
    <w:p w:rsidR="009714CC" w:rsidRDefault="001F2099" w:rsidP="001F2099">
      <w:pPr>
        <w:autoSpaceDE w:val="0"/>
        <w:autoSpaceDN w:val="0"/>
        <w:adjustRightInd w:val="0"/>
        <w:spacing w:after="0" w:line="240" w:lineRule="auto"/>
        <w:rPr>
          <w:rFonts w:cs="Arial"/>
        </w:rPr>
      </w:pPr>
      <w:r w:rsidRPr="001F2099">
        <w:rPr>
          <w:rFonts w:cs="Arial"/>
        </w:rPr>
        <w:t>La generica ubicazione dell'esercizio commerciale, posta a sostegno della ritenuta maggiore possib</w:t>
      </w:r>
      <w:r>
        <w:rPr>
          <w:rFonts w:cs="Arial"/>
        </w:rPr>
        <w:t xml:space="preserve">ilità di realizzare reddito, in </w:t>
      </w:r>
      <w:r w:rsidRPr="001F2099">
        <w:rPr>
          <w:rFonts w:cs="Arial"/>
        </w:rPr>
        <w:t>assenza di elementi ulteriori, non costituisce circostanza da sola sufficiente ai fini della rettifica dell'at</w:t>
      </w:r>
      <w:r>
        <w:rPr>
          <w:rFonts w:cs="Arial"/>
        </w:rPr>
        <w:t xml:space="preserve">to di compravendita di azienda, </w:t>
      </w:r>
      <w:r w:rsidRPr="001F2099">
        <w:rPr>
          <w:rFonts w:cs="Arial"/>
        </w:rPr>
        <w:t>con aumento del valore dell'avviamento.</w:t>
      </w:r>
    </w:p>
    <w:p w:rsidR="009714CC" w:rsidRDefault="009714CC" w:rsidP="001F2099">
      <w:pPr>
        <w:autoSpaceDE w:val="0"/>
        <w:autoSpaceDN w:val="0"/>
        <w:adjustRightInd w:val="0"/>
        <w:spacing w:after="0" w:line="240" w:lineRule="auto"/>
        <w:rPr>
          <w:rFonts w:cs="Arial"/>
        </w:rPr>
      </w:pPr>
    </w:p>
    <w:p w:rsidR="009714CC" w:rsidRDefault="009714CC" w:rsidP="001F2099">
      <w:pPr>
        <w:autoSpaceDE w:val="0"/>
        <w:autoSpaceDN w:val="0"/>
        <w:adjustRightInd w:val="0"/>
        <w:spacing w:after="0" w:line="240" w:lineRule="auto"/>
        <w:rPr>
          <w:rFonts w:cs="Arial"/>
        </w:rPr>
      </w:pPr>
    </w:p>
    <w:p w:rsidR="009714CC" w:rsidRPr="009714CC" w:rsidRDefault="009714CC" w:rsidP="009714CC">
      <w:pPr>
        <w:autoSpaceDE w:val="0"/>
        <w:autoSpaceDN w:val="0"/>
        <w:adjustRightInd w:val="0"/>
        <w:spacing w:after="0" w:line="240" w:lineRule="auto"/>
        <w:rPr>
          <w:rFonts w:cs="Arial"/>
          <w:b/>
          <w:bCs/>
        </w:rPr>
      </w:pPr>
      <w:r w:rsidRPr="009714CC">
        <w:rPr>
          <w:rFonts w:cs="Arial"/>
          <w:b/>
          <w:bCs/>
        </w:rPr>
        <w:t>Commiss. Trib. Prov. Lombardia Milano Sez. XXV, 28-10-2015</w:t>
      </w:r>
    </w:p>
    <w:p w:rsidR="009714CC" w:rsidRDefault="009714CC" w:rsidP="009714CC">
      <w:pPr>
        <w:autoSpaceDE w:val="0"/>
        <w:autoSpaceDN w:val="0"/>
        <w:adjustRightInd w:val="0"/>
        <w:spacing w:after="0" w:line="240" w:lineRule="auto"/>
        <w:rPr>
          <w:rFonts w:cs="Arial"/>
          <w:b/>
          <w:bCs/>
          <w:szCs w:val="18"/>
        </w:rPr>
      </w:pPr>
      <w:r w:rsidRPr="009714CC">
        <w:rPr>
          <w:rFonts w:cs="Arial"/>
          <w:b/>
          <w:bCs/>
          <w:szCs w:val="18"/>
        </w:rPr>
        <w:t>IMPOSTA REGISTRO</w:t>
      </w:r>
    </w:p>
    <w:p w:rsidR="009714CC" w:rsidRDefault="009714CC" w:rsidP="009714CC">
      <w:pPr>
        <w:autoSpaceDE w:val="0"/>
        <w:autoSpaceDN w:val="0"/>
        <w:adjustRightInd w:val="0"/>
        <w:spacing w:after="0" w:line="240" w:lineRule="auto"/>
        <w:rPr>
          <w:rFonts w:cs="Arial"/>
          <w:b/>
          <w:bCs/>
          <w:szCs w:val="18"/>
        </w:rPr>
      </w:pPr>
    </w:p>
    <w:p w:rsidR="00DC2D15" w:rsidRDefault="009714CC" w:rsidP="009714CC">
      <w:pPr>
        <w:autoSpaceDE w:val="0"/>
        <w:autoSpaceDN w:val="0"/>
        <w:adjustRightInd w:val="0"/>
        <w:spacing w:after="0" w:line="240" w:lineRule="auto"/>
        <w:rPr>
          <w:rFonts w:cs="Arial"/>
        </w:rPr>
      </w:pPr>
      <w:r w:rsidRPr="009714CC">
        <w:rPr>
          <w:rFonts w:cs="Arial"/>
        </w:rPr>
        <w:t>Si ritiene di calcolare l'avviamento secondo la formula dell'attualizzazione limitata nel temp</w:t>
      </w:r>
      <w:r>
        <w:rPr>
          <w:rFonts w:cs="Arial"/>
        </w:rPr>
        <w:t xml:space="preserve">o del reddito medio prospettico </w:t>
      </w:r>
      <w:r w:rsidRPr="009714CC">
        <w:rPr>
          <w:rFonts w:cs="Arial"/>
        </w:rPr>
        <w:t>considerando un arco temporale di 5 anni ed ipotizzando un appropriato tasso di attualizzazione c</w:t>
      </w:r>
      <w:r>
        <w:rPr>
          <w:rFonts w:cs="Arial"/>
        </w:rPr>
        <w:t xml:space="preserve">on la conseguenza che il valore </w:t>
      </w:r>
      <w:r w:rsidRPr="009714CC">
        <w:rPr>
          <w:rFonts w:cs="Arial"/>
        </w:rPr>
        <w:t xml:space="preserve">viene rideterminato in euro 120 mila. </w:t>
      </w:r>
    </w:p>
    <w:p w:rsidR="000E04D2" w:rsidRDefault="009714CC" w:rsidP="009714CC">
      <w:pPr>
        <w:autoSpaceDE w:val="0"/>
        <w:autoSpaceDN w:val="0"/>
        <w:adjustRightInd w:val="0"/>
        <w:spacing w:after="0" w:line="240" w:lineRule="auto"/>
        <w:rPr>
          <w:rFonts w:cs="Arial"/>
        </w:rPr>
      </w:pPr>
      <w:r w:rsidRPr="009714CC">
        <w:rPr>
          <w:rFonts w:cs="Arial"/>
        </w:rPr>
        <w:t>(Nel caso di specie una società ricorre contro l'avviso di a</w:t>
      </w:r>
      <w:r>
        <w:rPr>
          <w:rFonts w:cs="Arial"/>
        </w:rPr>
        <w:t xml:space="preserve">ccertamento emesso dall'agenzia </w:t>
      </w:r>
      <w:r w:rsidRPr="009714CC">
        <w:rPr>
          <w:rFonts w:cs="Arial"/>
        </w:rPr>
        <w:t>delle entrate con il quale ha rideterminato il valore dell'avviamento dichiarato a seguito della cessione de</w:t>
      </w:r>
      <w:r w:rsidR="00DC2D15">
        <w:rPr>
          <w:rFonts w:cs="Arial"/>
        </w:rPr>
        <w:t xml:space="preserve">ll'azienda. L'ufficio ricalcola </w:t>
      </w:r>
      <w:r w:rsidRPr="009714CC">
        <w:rPr>
          <w:rFonts w:cs="Arial"/>
        </w:rPr>
        <w:t>l'avviamento sulla base dei redditi medi conseguiti dalla società nell'ultimo triennio. Così ope</w:t>
      </w:r>
      <w:r w:rsidR="00DC2D15">
        <w:rPr>
          <w:rFonts w:cs="Arial"/>
        </w:rPr>
        <w:t xml:space="preserve">rando a fronte di un avviamento </w:t>
      </w:r>
      <w:r w:rsidRPr="009714CC">
        <w:rPr>
          <w:rFonts w:cs="Arial"/>
        </w:rPr>
        <w:t>dichiarato pari a euro 100 mila si perviene ad un valore pari a euro 261 mila. La Ctp accoglie in</w:t>
      </w:r>
      <w:r w:rsidR="00DC2D15">
        <w:rPr>
          <w:rFonts w:cs="Arial"/>
        </w:rPr>
        <w:t xml:space="preserve"> parte il ricorso della società </w:t>
      </w:r>
      <w:r w:rsidRPr="009714CC">
        <w:rPr>
          <w:rFonts w:cs="Arial"/>
        </w:rPr>
        <w:t>ricalcolando il valore dell'avviamento.).</w:t>
      </w:r>
    </w:p>
    <w:p w:rsidR="000E04D2" w:rsidRDefault="000E04D2" w:rsidP="009714CC">
      <w:pPr>
        <w:autoSpaceDE w:val="0"/>
        <w:autoSpaceDN w:val="0"/>
        <w:adjustRightInd w:val="0"/>
        <w:spacing w:after="0" w:line="240" w:lineRule="auto"/>
        <w:rPr>
          <w:rFonts w:cs="Arial"/>
        </w:rPr>
      </w:pPr>
    </w:p>
    <w:p w:rsidR="001C2260" w:rsidRDefault="001C2260" w:rsidP="000E04D2">
      <w:pPr>
        <w:autoSpaceDE w:val="0"/>
        <w:autoSpaceDN w:val="0"/>
        <w:adjustRightInd w:val="0"/>
        <w:spacing w:after="0" w:line="240" w:lineRule="auto"/>
        <w:rPr>
          <w:rFonts w:cs="68nlkoa,Bold"/>
          <w:b/>
          <w:bCs/>
        </w:rPr>
      </w:pPr>
    </w:p>
    <w:p w:rsidR="000E04D2" w:rsidRPr="000E04D2" w:rsidRDefault="000E04D2" w:rsidP="000E04D2">
      <w:pPr>
        <w:autoSpaceDE w:val="0"/>
        <w:autoSpaceDN w:val="0"/>
        <w:adjustRightInd w:val="0"/>
        <w:spacing w:after="0" w:line="240" w:lineRule="auto"/>
        <w:rPr>
          <w:rFonts w:cs="68nlkoa,Bold"/>
          <w:b/>
          <w:bCs/>
        </w:rPr>
      </w:pPr>
      <w:r w:rsidRPr="000E04D2">
        <w:rPr>
          <w:rFonts w:cs="68nlkoa,Bold"/>
          <w:b/>
          <w:bCs/>
        </w:rPr>
        <w:t>C.T. Prov. Terni 424/01/2015</w:t>
      </w:r>
    </w:p>
    <w:p w:rsidR="000E04D2" w:rsidRPr="000E04D2" w:rsidRDefault="000E04D2" w:rsidP="000E04D2">
      <w:pPr>
        <w:autoSpaceDE w:val="0"/>
        <w:autoSpaceDN w:val="0"/>
        <w:adjustRightInd w:val="0"/>
        <w:spacing w:after="0" w:line="240" w:lineRule="auto"/>
        <w:rPr>
          <w:rFonts w:cs="68nlkoa,Bold"/>
          <w:b/>
          <w:bCs/>
        </w:rPr>
      </w:pPr>
      <w:r w:rsidRPr="000E04D2">
        <w:rPr>
          <w:rFonts w:cs="68nlkoa,Bold"/>
          <w:b/>
          <w:bCs/>
        </w:rPr>
        <w:t>Debiti tributari facenti capo al cedente - Certificato dei carichi fiscali pendenti rilasciato dall'Agenzia delle Entrate</w:t>
      </w:r>
    </w:p>
    <w:p w:rsidR="000E04D2" w:rsidRPr="00CC2B82" w:rsidRDefault="000E04D2" w:rsidP="000E04D2">
      <w:pPr>
        <w:autoSpaceDE w:val="0"/>
        <w:autoSpaceDN w:val="0"/>
        <w:adjustRightInd w:val="0"/>
        <w:spacing w:after="0" w:line="240" w:lineRule="auto"/>
        <w:rPr>
          <w:rFonts w:cs="68nlkoa,Bold"/>
          <w:b/>
          <w:bCs/>
          <w:sz w:val="18"/>
          <w:szCs w:val="18"/>
        </w:rPr>
      </w:pPr>
    </w:p>
    <w:p w:rsidR="000E04D2" w:rsidRPr="000E04D2" w:rsidRDefault="000E04D2" w:rsidP="000E04D2">
      <w:pPr>
        <w:autoSpaceDE w:val="0"/>
        <w:autoSpaceDN w:val="0"/>
        <w:adjustRightInd w:val="0"/>
        <w:spacing w:after="0" w:line="240" w:lineRule="auto"/>
        <w:rPr>
          <w:rFonts w:cs="56bplja"/>
        </w:rPr>
      </w:pPr>
      <w:r w:rsidRPr="000E04D2">
        <w:rPr>
          <w:rFonts w:cs="56bplja"/>
        </w:rPr>
        <w:t xml:space="preserve">La C.T. Prov. Terni 424/01/2015 sancisce alcuni principi concernenti le obbligazioni emergenti in </w:t>
      </w:r>
      <w:r>
        <w:rPr>
          <w:rFonts w:cs="56bplja"/>
        </w:rPr>
        <w:t xml:space="preserve">capo al cessionario nel caso di </w:t>
      </w:r>
      <w:r w:rsidRPr="000E04D2">
        <w:rPr>
          <w:rFonts w:cs="56bplja"/>
        </w:rPr>
        <w:t>un'operazione di acquisto di ramo di azienda.</w:t>
      </w:r>
    </w:p>
    <w:p w:rsidR="000E04D2" w:rsidRDefault="000E04D2" w:rsidP="000E04D2">
      <w:pPr>
        <w:autoSpaceDE w:val="0"/>
        <w:autoSpaceDN w:val="0"/>
        <w:adjustRightInd w:val="0"/>
        <w:spacing w:after="0" w:line="240" w:lineRule="auto"/>
        <w:rPr>
          <w:rFonts w:cs="56bplja"/>
        </w:rPr>
      </w:pPr>
      <w:r w:rsidRPr="000E04D2">
        <w:rPr>
          <w:rFonts w:cs="56bplja"/>
        </w:rPr>
        <w:t>Ad avviso dei giudici, in base all'art. 14 del DLgs. 472/97, risulta chiaro che l'obbligazione del cessionario è limitata al debito risul</w:t>
      </w:r>
      <w:r>
        <w:rPr>
          <w:rFonts w:cs="56bplja"/>
        </w:rPr>
        <w:t xml:space="preserve">tante, </w:t>
      </w:r>
      <w:r w:rsidRPr="000E04D2">
        <w:rPr>
          <w:rFonts w:cs="56bplja"/>
        </w:rPr>
        <w:t>alla data del trasferimento, dagli atti dell'Amministrazione finanziaria e degli enti preposti all'accertamento</w:t>
      </w:r>
      <w:r>
        <w:rPr>
          <w:rFonts w:cs="56bplja"/>
        </w:rPr>
        <w:t xml:space="preserve"> dei tributi. Il cessionario ha </w:t>
      </w:r>
      <w:r w:rsidRPr="000E04D2">
        <w:rPr>
          <w:rFonts w:cs="56bplja"/>
        </w:rPr>
        <w:t>l'onere di richiedere la certificazione mentre l'Amministrazione ha l'obbligo di rappresentare la situazione fiscale del cedente.</w:t>
      </w:r>
    </w:p>
    <w:p w:rsidR="000E04D2" w:rsidRPr="000E04D2" w:rsidRDefault="000E04D2" w:rsidP="000E04D2">
      <w:pPr>
        <w:autoSpaceDE w:val="0"/>
        <w:autoSpaceDN w:val="0"/>
        <w:adjustRightInd w:val="0"/>
        <w:spacing w:after="0" w:line="240" w:lineRule="auto"/>
        <w:rPr>
          <w:rFonts w:cs="56bplja"/>
        </w:rPr>
      </w:pPr>
      <w:r>
        <w:rPr>
          <w:rFonts w:cs="56bplja"/>
        </w:rPr>
        <w:t xml:space="preserve">Il certificato </w:t>
      </w:r>
      <w:r w:rsidRPr="000E04D2">
        <w:rPr>
          <w:rFonts w:cs="56bplja"/>
        </w:rPr>
        <w:t>negativo, proseguono i giudici, ha pieno effetto liberatorio e lo stesso effetto si produce se entro 40 giorni dal</w:t>
      </w:r>
      <w:r>
        <w:rPr>
          <w:rFonts w:cs="56bplja"/>
        </w:rPr>
        <w:t xml:space="preserve">la richiesta il certificato non </w:t>
      </w:r>
      <w:r w:rsidRPr="000E04D2">
        <w:rPr>
          <w:rFonts w:cs="56bplja"/>
        </w:rPr>
        <w:t>viene rilasciato.</w:t>
      </w:r>
    </w:p>
    <w:p w:rsidR="005C77A5" w:rsidRPr="000E04D2" w:rsidRDefault="000E04D2" w:rsidP="000E04D2">
      <w:pPr>
        <w:autoSpaceDE w:val="0"/>
        <w:autoSpaceDN w:val="0"/>
        <w:adjustRightInd w:val="0"/>
        <w:spacing w:after="0" w:line="240" w:lineRule="auto"/>
        <w:rPr>
          <w:rFonts w:cs="56bplja"/>
        </w:rPr>
      </w:pPr>
      <w:r w:rsidRPr="000E04D2">
        <w:rPr>
          <w:rFonts w:cs="56bplja"/>
        </w:rPr>
        <w:t xml:space="preserve">Il cessionario diligente, secondo i giudici, non dovrà quindi rispondere di debiti fiscali a lui non </w:t>
      </w:r>
      <w:r>
        <w:rPr>
          <w:rFonts w:cs="56bplja"/>
        </w:rPr>
        <w:t xml:space="preserve">comunicati dall'Amministrazione </w:t>
      </w:r>
      <w:r w:rsidRPr="000E04D2">
        <w:rPr>
          <w:rFonts w:cs="56bplja"/>
        </w:rPr>
        <w:t>finanziaria; tale regola non può trovare eccezione per crediti dell'Amministrazione</w:t>
      </w:r>
      <w:r w:rsidR="00CC2B82">
        <w:rPr>
          <w:rFonts w:cs="56bplja"/>
        </w:rPr>
        <w:t xml:space="preserve"> </w:t>
      </w:r>
      <w:r w:rsidRPr="000E04D2">
        <w:rPr>
          <w:rFonts w:cs="56bplja"/>
        </w:rPr>
        <w:t xml:space="preserve">finanziaria non ancora </w:t>
      </w:r>
      <w:r>
        <w:rPr>
          <w:rFonts w:cs="56bplja"/>
        </w:rPr>
        <w:t xml:space="preserve">accertati ma accertabili, visto </w:t>
      </w:r>
      <w:r w:rsidRPr="000E04D2">
        <w:rPr>
          <w:rFonts w:cs="56bplja"/>
        </w:rPr>
        <w:t>che tale ipotesi non è contemplata tra le deroghe normativamente previste</w:t>
      </w:r>
      <w:r>
        <w:rPr>
          <w:rFonts w:ascii="56bplja" w:hAnsi="56bplja" w:cs="56bplja"/>
          <w:sz w:val="13"/>
          <w:szCs w:val="13"/>
        </w:rPr>
        <w:t>.</w:t>
      </w:r>
      <w:r w:rsidR="005C77A5" w:rsidRPr="001F2099">
        <w:rPr>
          <w:rFonts w:cs="Arial"/>
        </w:rPr>
        <w:br w:type="page"/>
      </w:r>
    </w:p>
    <w:p w:rsidR="00130E0B" w:rsidRDefault="00130E0B" w:rsidP="00130E0B">
      <w:pPr>
        <w:pBdr>
          <w:bottom w:val="single" w:sz="12" w:space="1" w:color="auto"/>
        </w:pBdr>
        <w:autoSpaceDE w:val="0"/>
        <w:autoSpaceDN w:val="0"/>
        <w:adjustRightInd w:val="0"/>
        <w:spacing w:after="0" w:line="240" w:lineRule="auto"/>
        <w:rPr>
          <w:rFonts w:ascii="Calibri" w:hAnsi="Calibri" w:cs="Calibri"/>
          <w:b/>
          <w:sz w:val="20"/>
          <w:szCs w:val="20"/>
        </w:rPr>
      </w:pPr>
      <w:r>
        <w:rPr>
          <w:rFonts w:ascii="Calibri" w:hAnsi="Calibri" w:cs="Calibri"/>
          <w:b/>
          <w:sz w:val="20"/>
          <w:szCs w:val="20"/>
        </w:rPr>
        <w:lastRenderedPageBreak/>
        <w:sym w:font="Wingdings" w:char="F040"/>
      </w:r>
      <w:r>
        <w:rPr>
          <w:rFonts w:ascii="Calibri" w:hAnsi="Calibri" w:cs="Calibri"/>
          <w:b/>
          <w:sz w:val="20"/>
          <w:szCs w:val="20"/>
        </w:rPr>
        <w:t xml:space="preserve"> NOTE – APPUNTI</w:t>
      </w:r>
    </w:p>
    <w:p w:rsidR="00130E0B" w:rsidRDefault="00130E0B" w:rsidP="00130E0B">
      <w:pPr>
        <w:autoSpaceDE w:val="0"/>
        <w:autoSpaceDN w:val="0"/>
        <w:adjustRightInd w:val="0"/>
        <w:spacing w:after="0" w:line="240" w:lineRule="auto"/>
        <w:rPr>
          <w:rFonts w:ascii="Calibri" w:hAnsi="Calibri" w:cs="Calibri"/>
          <w:b/>
          <w:sz w:val="20"/>
          <w:szCs w:val="20"/>
        </w:rPr>
      </w:pPr>
    </w:p>
    <w:p w:rsidR="005C77A5" w:rsidRPr="005A7E30" w:rsidRDefault="005C77A5" w:rsidP="0029395E">
      <w:pPr>
        <w:autoSpaceDE w:val="0"/>
        <w:autoSpaceDN w:val="0"/>
        <w:adjustRightInd w:val="0"/>
        <w:spacing w:after="0" w:line="240" w:lineRule="auto"/>
      </w:pPr>
    </w:p>
    <w:sectPr w:rsidR="005C77A5" w:rsidRPr="005A7E30" w:rsidSect="0081090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59" w:rsidRDefault="00A03D59" w:rsidP="00C4747D">
      <w:pPr>
        <w:spacing w:after="0" w:line="240" w:lineRule="auto"/>
      </w:pPr>
      <w:r>
        <w:separator/>
      </w:r>
    </w:p>
  </w:endnote>
  <w:endnote w:type="continuationSeparator" w:id="0">
    <w:p w:rsidR="00A03D59" w:rsidRDefault="00A03D59" w:rsidP="00C47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20002A87" w:usb1="80000000" w:usb2="00000008" w:usb3="00000000" w:csb0="000001FF" w:csb1="00000000"/>
  </w:font>
  <w:font w:name="68nlkoa,Bold">
    <w:panose1 w:val="00000000000000000000"/>
    <w:charset w:val="00"/>
    <w:family w:val="auto"/>
    <w:notTrueType/>
    <w:pitch w:val="default"/>
    <w:sig w:usb0="00000003" w:usb1="00000000" w:usb2="00000000" w:usb3="00000000" w:csb0="00000001" w:csb1="00000000"/>
  </w:font>
  <w:font w:name="56bplja">
    <w:panose1 w:val="00000000000000000000"/>
    <w:charset w:val="00"/>
    <w:family w:val="auto"/>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59" w:rsidRDefault="00A03D59" w:rsidP="00C4747D">
      <w:pPr>
        <w:spacing w:after="0" w:line="240" w:lineRule="auto"/>
      </w:pPr>
      <w:r>
        <w:separator/>
      </w:r>
    </w:p>
  </w:footnote>
  <w:footnote w:type="continuationSeparator" w:id="0">
    <w:p w:rsidR="00A03D59" w:rsidRDefault="00A03D59" w:rsidP="00C47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992"/>
    </w:tblGrid>
    <w:tr w:rsidR="00C4747D" w:rsidRPr="00F413BE" w:rsidTr="00EC3BAA">
      <w:trPr>
        <w:trHeight w:val="646"/>
      </w:trPr>
      <w:tc>
        <w:tcPr>
          <w:tcW w:w="9039" w:type="dxa"/>
        </w:tcPr>
        <w:p w:rsidR="00C4747D" w:rsidRPr="00F413BE" w:rsidRDefault="00C4747D" w:rsidP="00C4747D">
          <w:pPr>
            <w:pStyle w:val="Intestazione"/>
            <w:tabs>
              <w:tab w:val="clear" w:pos="9638"/>
            </w:tabs>
            <w:rPr>
              <w:color w:val="2E74B5" w:themeColor="accent1" w:themeShade="BF"/>
              <w:sz w:val="28"/>
              <w:szCs w:val="28"/>
            </w:rPr>
          </w:pPr>
          <w:r w:rsidRPr="00F413BE">
            <w:rPr>
              <w:color w:val="2E74B5" w:themeColor="accent1" w:themeShade="BF"/>
              <w:sz w:val="28"/>
              <w:szCs w:val="28"/>
            </w:rPr>
            <w:t xml:space="preserve">Luca Vannucci </w:t>
          </w:r>
          <w:r w:rsidRPr="00F413BE">
            <w:rPr>
              <w:color w:val="2E74B5" w:themeColor="accent1" w:themeShade="BF"/>
              <w:sz w:val="18"/>
              <w:szCs w:val="18"/>
            </w:rPr>
            <w:t>per</w:t>
          </w:r>
          <w:r w:rsidRPr="00F413BE">
            <w:rPr>
              <w:color w:val="2E74B5" w:themeColor="accent1" w:themeShade="BF"/>
              <w:sz w:val="28"/>
              <w:szCs w:val="28"/>
            </w:rPr>
            <w:t xml:space="preserve"> </w:t>
          </w:r>
        </w:p>
        <w:p w:rsidR="00C4747D" w:rsidRPr="00F413BE" w:rsidRDefault="00C4747D" w:rsidP="00C4747D">
          <w:pPr>
            <w:pStyle w:val="Intestazione"/>
            <w:rPr>
              <w:b/>
              <w:color w:val="2E74B5" w:themeColor="accent1" w:themeShade="BF"/>
              <w:sz w:val="28"/>
              <w:szCs w:val="28"/>
            </w:rPr>
          </w:pPr>
          <w:r w:rsidRPr="00F413BE">
            <w:rPr>
              <w:b/>
              <w:color w:val="2E74B5" w:themeColor="accent1" w:themeShade="BF"/>
              <w:sz w:val="28"/>
              <w:szCs w:val="28"/>
            </w:rPr>
            <w:t>Scuola di formazione alla professione di dottore commercialista 201</w:t>
          </w:r>
          <w:r>
            <w:rPr>
              <w:b/>
              <w:color w:val="2E74B5" w:themeColor="accent1" w:themeShade="BF"/>
              <w:sz w:val="28"/>
              <w:szCs w:val="28"/>
            </w:rPr>
            <w:t>5</w:t>
          </w:r>
          <w:r w:rsidRPr="00F413BE">
            <w:rPr>
              <w:b/>
              <w:color w:val="2E74B5" w:themeColor="accent1" w:themeShade="BF"/>
              <w:sz w:val="28"/>
              <w:szCs w:val="28"/>
            </w:rPr>
            <w:t>-201</w:t>
          </w:r>
          <w:r>
            <w:rPr>
              <w:b/>
              <w:color w:val="2E74B5" w:themeColor="accent1" w:themeShade="BF"/>
              <w:sz w:val="28"/>
              <w:szCs w:val="28"/>
            </w:rPr>
            <w:t>6</w:t>
          </w:r>
        </w:p>
      </w:tc>
      <w:tc>
        <w:tcPr>
          <w:tcW w:w="992" w:type="dxa"/>
        </w:tcPr>
        <w:p w:rsidR="00C4747D" w:rsidRPr="00F413BE" w:rsidRDefault="00C4747D" w:rsidP="00C4747D">
          <w:pPr>
            <w:pStyle w:val="Intestazione"/>
            <w:rPr>
              <w:color w:val="2E74B5" w:themeColor="accent1" w:themeShade="BF"/>
              <w:sz w:val="28"/>
              <w:szCs w:val="28"/>
            </w:rPr>
          </w:pPr>
          <w:r w:rsidRPr="00F413BE">
            <w:rPr>
              <w:rFonts w:ascii="Arial" w:hAnsi="Arial" w:cs="Arial"/>
              <w:noProof/>
              <w:color w:val="2E74B5" w:themeColor="accent1" w:themeShade="BF"/>
              <w:sz w:val="28"/>
              <w:szCs w:val="28"/>
              <w:lang w:eastAsia="it-IT"/>
            </w:rPr>
            <w:drawing>
              <wp:inline distT="0" distB="0" distL="0" distR="0">
                <wp:extent cx="487680" cy="409652"/>
                <wp:effectExtent l="0" t="0" r="7620" b="9525"/>
                <wp:docPr id="1" name="Immagine 1" descr="cndce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_logo.png"/>
                        <pic:cNvPicPr>
                          <a:picLocks noChangeAspect="1" noChangeArrowheads="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0253"/>
                        <a:stretch/>
                      </pic:blipFill>
                      <pic:spPr bwMode="auto">
                        <a:xfrm>
                          <a:off x="0" y="0"/>
                          <a:ext cx="491253" cy="4126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C4747D" w:rsidRDefault="00C474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2AE"/>
    <w:multiLevelType w:val="hybridMultilevel"/>
    <w:tmpl w:val="F6F490D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116B64"/>
    <w:multiLevelType w:val="hybridMultilevel"/>
    <w:tmpl w:val="60EE26F4"/>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6C1F17"/>
    <w:multiLevelType w:val="hybridMultilevel"/>
    <w:tmpl w:val="3D681A0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B95B8D"/>
    <w:multiLevelType w:val="hybridMultilevel"/>
    <w:tmpl w:val="1C9AA988"/>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
    <w:nsid w:val="2DE142A8"/>
    <w:multiLevelType w:val="hybridMultilevel"/>
    <w:tmpl w:val="C9DCB73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815E5C"/>
    <w:multiLevelType w:val="hybridMultilevel"/>
    <w:tmpl w:val="9142305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851FD"/>
    <w:multiLevelType w:val="hybridMultilevel"/>
    <w:tmpl w:val="9268313A"/>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0B0B87"/>
    <w:multiLevelType w:val="hybridMultilevel"/>
    <w:tmpl w:val="EB8CE692"/>
    <w:lvl w:ilvl="0" w:tplc="0DAE1F44">
      <w:start w:val="1"/>
      <w:numFmt w:val="bullet"/>
      <w:lvlText w:val=""/>
      <w:lvlJc w:val="left"/>
      <w:pPr>
        <w:tabs>
          <w:tab w:val="num" w:pos="720"/>
        </w:tabs>
        <w:ind w:left="720" w:hanging="360"/>
      </w:pPr>
      <w:rPr>
        <w:rFonts w:ascii="Wingdings 3" w:hAnsi="Wingdings 3" w:hint="default"/>
      </w:rPr>
    </w:lvl>
    <w:lvl w:ilvl="1" w:tplc="C9E840BE" w:tentative="1">
      <w:start w:val="1"/>
      <w:numFmt w:val="bullet"/>
      <w:lvlText w:val=""/>
      <w:lvlJc w:val="left"/>
      <w:pPr>
        <w:tabs>
          <w:tab w:val="num" w:pos="1440"/>
        </w:tabs>
        <w:ind w:left="1440" w:hanging="360"/>
      </w:pPr>
      <w:rPr>
        <w:rFonts w:ascii="Wingdings 3" w:hAnsi="Wingdings 3" w:hint="default"/>
      </w:rPr>
    </w:lvl>
    <w:lvl w:ilvl="2" w:tplc="478EA47E">
      <w:start w:val="1"/>
      <w:numFmt w:val="bullet"/>
      <w:lvlText w:val=""/>
      <w:lvlJc w:val="left"/>
      <w:pPr>
        <w:tabs>
          <w:tab w:val="num" w:pos="2160"/>
        </w:tabs>
        <w:ind w:left="2160" w:hanging="360"/>
      </w:pPr>
      <w:rPr>
        <w:rFonts w:ascii="Wingdings 3" w:hAnsi="Wingdings 3" w:hint="default"/>
      </w:rPr>
    </w:lvl>
    <w:lvl w:ilvl="3" w:tplc="EF80CAEE" w:tentative="1">
      <w:start w:val="1"/>
      <w:numFmt w:val="bullet"/>
      <w:lvlText w:val=""/>
      <w:lvlJc w:val="left"/>
      <w:pPr>
        <w:tabs>
          <w:tab w:val="num" w:pos="2880"/>
        </w:tabs>
        <w:ind w:left="2880" w:hanging="360"/>
      </w:pPr>
      <w:rPr>
        <w:rFonts w:ascii="Wingdings 3" w:hAnsi="Wingdings 3" w:hint="default"/>
      </w:rPr>
    </w:lvl>
    <w:lvl w:ilvl="4" w:tplc="C59808BE" w:tentative="1">
      <w:start w:val="1"/>
      <w:numFmt w:val="bullet"/>
      <w:lvlText w:val=""/>
      <w:lvlJc w:val="left"/>
      <w:pPr>
        <w:tabs>
          <w:tab w:val="num" w:pos="3600"/>
        </w:tabs>
        <w:ind w:left="3600" w:hanging="360"/>
      </w:pPr>
      <w:rPr>
        <w:rFonts w:ascii="Wingdings 3" w:hAnsi="Wingdings 3" w:hint="default"/>
      </w:rPr>
    </w:lvl>
    <w:lvl w:ilvl="5" w:tplc="CE029E60" w:tentative="1">
      <w:start w:val="1"/>
      <w:numFmt w:val="bullet"/>
      <w:lvlText w:val=""/>
      <w:lvlJc w:val="left"/>
      <w:pPr>
        <w:tabs>
          <w:tab w:val="num" w:pos="4320"/>
        </w:tabs>
        <w:ind w:left="4320" w:hanging="360"/>
      </w:pPr>
      <w:rPr>
        <w:rFonts w:ascii="Wingdings 3" w:hAnsi="Wingdings 3" w:hint="default"/>
      </w:rPr>
    </w:lvl>
    <w:lvl w:ilvl="6" w:tplc="466AC58C" w:tentative="1">
      <w:start w:val="1"/>
      <w:numFmt w:val="bullet"/>
      <w:lvlText w:val=""/>
      <w:lvlJc w:val="left"/>
      <w:pPr>
        <w:tabs>
          <w:tab w:val="num" w:pos="5040"/>
        </w:tabs>
        <w:ind w:left="5040" w:hanging="360"/>
      </w:pPr>
      <w:rPr>
        <w:rFonts w:ascii="Wingdings 3" w:hAnsi="Wingdings 3" w:hint="default"/>
      </w:rPr>
    </w:lvl>
    <w:lvl w:ilvl="7" w:tplc="30E07A90" w:tentative="1">
      <w:start w:val="1"/>
      <w:numFmt w:val="bullet"/>
      <w:lvlText w:val=""/>
      <w:lvlJc w:val="left"/>
      <w:pPr>
        <w:tabs>
          <w:tab w:val="num" w:pos="5760"/>
        </w:tabs>
        <w:ind w:left="5760" w:hanging="360"/>
      </w:pPr>
      <w:rPr>
        <w:rFonts w:ascii="Wingdings 3" w:hAnsi="Wingdings 3" w:hint="default"/>
      </w:rPr>
    </w:lvl>
    <w:lvl w:ilvl="8" w:tplc="4E241756" w:tentative="1">
      <w:start w:val="1"/>
      <w:numFmt w:val="bullet"/>
      <w:lvlText w:val=""/>
      <w:lvlJc w:val="left"/>
      <w:pPr>
        <w:tabs>
          <w:tab w:val="num" w:pos="6480"/>
        </w:tabs>
        <w:ind w:left="6480" w:hanging="360"/>
      </w:pPr>
      <w:rPr>
        <w:rFonts w:ascii="Wingdings 3" w:hAnsi="Wingdings 3" w:hint="default"/>
      </w:rPr>
    </w:lvl>
  </w:abstractNum>
  <w:abstractNum w:abstractNumId="8">
    <w:nsid w:val="411E6D33"/>
    <w:multiLevelType w:val="hybridMultilevel"/>
    <w:tmpl w:val="1ED05C9E"/>
    <w:lvl w:ilvl="0" w:tplc="71BA8086">
      <w:start w:val="1"/>
      <w:numFmt w:val="bullet"/>
      <w:lvlText w:val=""/>
      <w:lvlJc w:val="left"/>
      <w:pPr>
        <w:tabs>
          <w:tab w:val="num" w:pos="720"/>
        </w:tabs>
        <w:ind w:left="720" w:hanging="360"/>
      </w:pPr>
      <w:rPr>
        <w:rFonts w:ascii="Wingdings 3" w:hAnsi="Wingdings 3" w:hint="default"/>
      </w:rPr>
    </w:lvl>
    <w:lvl w:ilvl="1" w:tplc="1AA6BCE8" w:tentative="1">
      <w:start w:val="1"/>
      <w:numFmt w:val="bullet"/>
      <w:lvlText w:val=""/>
      <w:lvlJc w:val="left"/>
      <w:pPr>
        <w:tabs>
          <w:tab w:val="num" w:pos="1440"/>
        </w:tabs>
        <w:ind w:left="1440" w:hanging="360"/>
      </w:pPr>
      <w:rPr>
        <w:rFonts w:ascii="Wingdings 3" w:hAnsi="Wingdings 3" w:hint="default"/>
      </w:rPr>
    </w:lvl>
    <w:lvl w:ilvl="2" w:tplc="B6208BF0">
      <w:start w:val="1"/>
      <w:numFmt w:val="bullet"/>
      <w:lvlText w:val=""/>
      <w:lvlJc w:val="left"/>
      <w:pPr>
        <w:tabs>
          <w:tab w:val="num" w:pos="2160"/>
        </w:tabs>
        <w:ind w:left="2160" w:hanging="360"/>
      </w:pPr>
      <w:rPr>
        <w:rFonts w:ascii="Wingdings 3" w:hAnsi="Wingdings 3" w:hint="default"/>
      </w:rPr>
    </w:lvl>
    <w:lvl w:ilvl="3" w:tplc="F0C2CA00" w:tentative="1">
      <w:start w:val="1"/>
      <w:numFmt w:val="bullet"/>
      <w:lvlText w:val=""/>
      <w:lvlJc w:val="left"/>
      <w:pPr>
        <w:tabs>
          <w:tab w:val="num" w:pos="2880"/>
        </w:tabs>
        <w:ind w:left="2880" w:hanging="360"/>
      </w:pPr>
      <w:rPr>
        <w:rFonts w:ascii="Wingdings 3" w:hAnsi="Wingdings 3" w:hint="default"/>
      </w:rPr>
    </w:lvl>
    <w:lvl w:ilvl="4" w:tplc="0DBAD9B4" w:tentative="1">
      <w:start w:val="1"/>
      <w:numFmt w:val="bullet"/>
      <w:lvlText w:val=""/>
      <w:lvlJc w:val="left"/>
      <w:pPr>
        <w:tabs>
          <w:tab w:val="num" w:pos="3600"/>
        </w:tabs>
        <w:ind w:left="3600" w:hanging="360"/>
      </w:pPr>
      <w:rPr>
        <w:rFonts w:ascii="Wingdings 3" w:hAnsi="Wingdings 3" w:hint="default"/>
      </w:rPr>
    </w:lvl>
    <w:lvl w:ilvl="5" w:tplc="8CFADA66" w:tentative="1">
      <w:start w:val="1"/>
      <w:numFmt w:val="bullet"/>
      <w:lvlText w:val=""/>
      <w:lvlJc w:val="left"/>
      <w:pPr>
        <w:tabs>
          <w:tab w:val="num" w:pos="4320"/>
        </w:tabs>
        <w:ind w:left="4320" w:hanging="360"/>
      </w:pPr>
      <w:rPr>
        <w:rFonts w:ascii="Wingdings 3" w:hAnsi="Wingdings 3" w:hint="default"/>
      </w:rPr>
    </w:lvl>
    <w:lvl w:ilvl="6" w:tplc="1BF299FA" w:tentative="1">
      <w:start w:val="1"/>
      <w:numFmt w:val="bullet"/>
      <w:lvlText w:val=""/>
      <w:lvlJc w:val="left"/>
      <w:pPr>
        <w:tabs>
          <w:tab w:val="num" w:pos="5040"/>
        </w:tabs>
        <w:ind w:left="5040" w:hanging="360"/>
      </w:pPr>
      <w:rPr>
        <w:rFonts w:ascii="Wingdings 3" w:hAnsi="Wingdings 3" w:hint="default"/>
      </w:rPr>
    </w:lvl>
    <w:lvl w:ilvl="7" w:tplc="9170122C" w:tentative="1">
      <w:start w:val="1"/>
      <w:numFmt w:val="bullet"/>
      <w:lvlText w:val=""/>
      <w:lvlJc w:val="left"/>
      <w:pPr>
        <w:tabs>
          <w:tab w:val="num" w:pos="5760"/>
        </w:tabs>
        <w:ind w:left="5760" w:hanging="360"/>
      </w:pPr>
      <w:rPr>
        <w:rFonts w:ascii="Wingdings 3" w:hAnsi="Wingdings 3" w:hint="default"/>
      </w:rPr>
    </w:lvl>
    <w:lvl w:ilvl="8" w:tplc="91F4B834" w:tentative="1">
      <w:start w:val="1"/>
      <w:numFmt w:val="bullet"/>
      <w:lvlText w:val=""/>
      <w:lvlJc w:val="left"/>
      <w:pPr>
        <w:tabs>
          <w:tab w:val="num" w:pos="6480"/>
        </w:tabs>
        <w:ind w:left="6480" w:hanging="360"/>
      </w:pPr>
      <w:rPr>
        <w:rFonts w:ascii="Wingdings 3" w:hAnsi="Wingdings 3" w:hint="default"/>
      </w:rPr>
    </w:lvl>
  </w:abstractNum>
  <w:abstractNum w:abstractNumId="9">
    <w:nsid w:val="451448D0"/>
    <w:multiLevelType w:val="hybridMultilevel"/>
    <w:tmpl w:val="155844B0"/>
    <w:lvl w:ilvl="0" w:tplc="04100009">
      <w:start w:val="1"/>
      <w:numFmt w:val="bullet"/>
      <w:lvlText w:val=""/>
      <w:lvlJc w:val="left"/>
      <w:pPr>
        <w:ind w:left="915" w:hanging="360"/>
      </w:pPr>
      <w:rPr>
        <w:rFonts w:ascii="Wingdings" w:hAnsi="Wingdings" w:hint="default"/>
      </w:rPr>
    </w:lvl>
    <w:lvl w:ilvl="1" w:tplc="04100003" w:tentative="1">
      <w:start w:val="1"/>
      <w:numFmt w:val="bullet"/>
      <w:lvlText w:val="o"/>
      <w:lvlJc w:val="left"/>
      <w:pPr>
        <w:ind w:left="1635" w:hanging="360"/>
      </w:pPr>
      <w:rPr>
        <w:rFonts w:ascii="Courier New" w:hAnsi="Courier New" w:cs="Courier New" w:hint="default"/>
      </w:rPr>
    </w:lvl>
    <w:lvl w:ilvl="2" w:tplc="04100005">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nsid w:val="51E7474C"/>
    <w:multiLevelType w:val="hybridMultilevel"/>
    <w:tmpl w:val="F9CA7604"/>
    <w:lvl w:ilvl="0" w:tplc="09F41AE2">
      <w:start w:val="1"/>
      <w:numFmt w:val="bullet"/>
      <w:lvlText w:val=""/>
      <w:lvlJc w:val="left"/>
      <w:pPr>
        <w:tabs>
          <w:tab w:val="num" w:pos="720"/>
        </w:tabs>
        <w:ind w:left="720" w:hanging="360"/>
      </w:pPr>
      <w:rPr>
        <w:rFonts w:ascii="Wingdings 3" w:hAnsi="Wingdings 3" w:hint="default"/>
      </w:rPr>
    </w:lvl>
    <w:lvl w:ilvl="1" w:tplc="A6DA7DE2" w:tentative="1">
      <w:start w:val="1"/>
      <w:numFmt w:val="bullet"/>
      <w:lvlText w:val=""/>
      <w:lvlJc w:val="left"/>
      <w:pPr>
        <w:tabs>
          <w:tab w:val="num" w:pos="1440"/>
        </w:tabs>
        <w:ind w:left="1440" w:hanging="360"/>
      </w:pPr>
      <w:rPr>
        <w:rFonts w:ascii="Wingdings 3" w:hAnsi="Wingdings 3" w:hint="default"/>
      </w:rPr>
    </w:lvl>
    <w:lvl w:ilvl="2" w:tplc="D63A2774">
      <w:start w:val="1"/>
      <w:numFmt w:val="bullet"/>
      <w:lvlText w:val=""/>
      <w:lvlJc w:val="left"/>
      <w:pPr>
        <w:tabs>
          <w:tab w:val="num" w:pos="2160"/>
        </w:tabs>
        <w:ind w:left="2160" w:hanging="360"/>
      </w:pPr>
      <w:rPr>
        <w:rFonts w:ascii="Wingdings 3" w:hAnsi="Wingdings 3" w:hint="default"/>
      </w:rPr>
    </w:lvl>
    <w:lvl w:ilvl="3" w:tplc="0D4EE284" w:tentative="1">
      <w:start w:val="1"/>
      <w:numFmt w:val="bullet"/>
      <w:lvlText w:val=""/>
      <w:lvlJc w:val="left"/>
      <w:pPr>
        <w:tabs>
          <w:tab w:val="num" w:pos="2880"/>
        </w:tabs>
        <w:ind w:left="2880" w:hanging="360"/>
      </w:pPr>
      <w:rPr>
        <w:rFonts w:ascii="Wingdings 3" w:hAnsi="Wingdings 3" w:hint="default"/>
      </w:rPr>
    </w:lvl>
    <w:lvl w:ilvl="4" w:tplc="71AC6F50" w:tentative="1">
      <w:start w:val="1"/>
      <w:numFmt w:val="bullet"/>
      <w:lvlText w:val=""/>
      <w:lvlJc w:val="left"/>
      <w:pPr>
        <w:tabs>
          <w:tab w:val="num" w:pos="3600"/>
        </w:tabs>
        <w:ind w:left="3600" w:hanging="360"/>
      </w:pPr>
      <w:rPr>
        <w:rFonts w:ascii="Wingdings 3" w:hAnsi="Wingdings 3" w:hint="default"/>
      </w:rPr>
    </w:lvl>
    <w:lvl w:ilvl="5" w:tplc="BA84DCC6" w:tentative="1">
      <w:start w:val="1"/>
      <w:numFmt w:val="bullet"/>
      <w:lvlText w:val=""/>
      <w:lvlJc w:val="left"/>
      <w:pPr>
        <w:tabs>
          <w:tab w:val="num" w:pos="4320"/>
        </w:tabs>
        <w:ind w:left="4320" w:hanging="360"/>
      </w:pPr>
      <w:rPr>
        <w:rFonts w:ascii="Wingdings 3" w:hAnsi="Wingdings 3" w:hint="default"/>
      </w:rPr>
    </w:lvl>
    <w:lvl w:ilvl="6" w:tplc="36EEA350" w:tentative="1">
      <w:start w:val="1"/>
      <w:numFmt w:val="bullet"/>
      <w:lvlText w:val=""/>
      <w:lvlJc w:val="left"/>
      <w:pPr>
        <w:tabs>
          <w:tab w:val="num" w:pos="5040"/>
        </w:tabs>
        <w:ind w:left="5040" w:hanging="360"/>
      </w:pPr>
      <w:rPr>
        <w:rFonts w:ascii="Wingdings 3" w:hAnsi="Wingdings 3" w:hint="default"/>
      </w:rPr>
    </w:lvl>
    <w:lvl w:ilvl="7" w:tplc="B4C6876C" w:tentative="1">
      <w:start w:val="1"/>
      <w:numFmt w:val="bullet"/>
      <w:lvlText w:val=""/>
      <w:lvlJc w:val="left"/>
      <w:pPr>
        <w:tabs>
          <w:tab w:val="num" w:pos="5760"/>
        </w:tabs>
        <w:ind w:left="5760" w:hanging="360"/>
      </w:pPr>
      <w:rPr>
        <w:rFonts w:ascii="Wingdings 3" w:hAnsi="Wingdings 3" w:hint="default"/>
      </w:rPr>
    </w:lvl>
    <w:lvl w:ilvl="8" w:tplc="E44A7B04" w:tentative="1">
      <w:start w:val="1"/>
      <w:numFmt w:val="bullet"/>
      <w:lvlText w:val=""/>
      <w:lvlJc w:val="left"/>
      <w:pPr>
        <w:tabs>
          <w:tab w:val="num" w:pos="6480"/>
        </w:tabs>
        <w:ind w:left="6480" w:hanging="360"/>
      </w:pPr>
      <w:rPr>
        <w:rFonts w:ascii="Wingdings 3" w:hAnsi="Wingdings 3" w:hint="default"/>
      </w:rPr>
    </w:lvl>
  </w:abstractNum>
  <w:abstractNum w:abstractNumId="11">
    <w:nsid w:val="566C4085"/>
    <w:multiLevelType w:val="hybridMultilevel"/>
    <w:tmpl w:val="C0286A04"/>
    <w:lvl w:ilvl="0" w:tplc="58F2C4DE">
      <w:start w:val="1"/>
      <w:numFmt w:val="bullet"/>
      <w:lvlText w:val=""/>
      <w:lvlJc w:val="left"/>
      <w:pPr>
        <w:ind w:left="975" w:hanging="360"/>
      </w:pPr>
      <w:rPr>
        <w:rFonts w:ascii="Wingdings 3" w:hAnsi="Wingdings 3"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2">
    <w:nsid w:val="59817BBD"/>
    <w:multiLevelType w:val="hybridMultilevel"/>
    <w:tmpl w:val="890AE27C"/>
    <w:lvl w:ilvl="0" w:tplc="64906D56">
      <w:start w:val="1"/>
      <w:numFmt w:val="bullet"/>
      <w:lvlText w:val=""/>
      <w:lvlJc w:val="left"/>
      <w:pPr>
        <w:tabs>
          <w:tab w:val="num" w:pos="720"/>
        </w:tabs>
        <w:ind w:left="720" w:hanging="360"/>
      </w:pPr>
      <w:rPr>
        <w:rFonts w:ascii="Wingdings 3" w:hAnsi="Wingdings 3" w:hint="default"/>
      </w:rPr>
    </w:lvl>
    <w:lvl w:ilvl="1" w:tplc="E8744AF2">
      <w:start w:val="1"/>
      <w:numFmt w:val="bullet"/>
      <w:lvlText w:val=""/>
      <w:lvlJc w:val="left"/>
      <w:pPr>
        <w:tabs>
          <w:tab w:val="num" w:pos="1440"/>
        </w:tabs>
        <w:ind w:left="1440" w:hanging="360"/>
      </w:pPr>
      <w:rPr>
        <w:rFonts w:ascii="Wingdings 3" w:hAnsi="Wingdings 3" w:hint="default"/>
      </w:rPr>
    </w:lvl>
    <w:lvl w:ilvl="2" w:tplc="89945E1E" w:tentative="1">
      <w:start w:val="1"/>
      <w:numFmt w:val="bullet"/>
      <w:lvlText w:val=""/>
      <w:lvlJc w:val="left"/>
      <w:pPr>
        <w:tabs>
          <w:tab w:val="num" w:pos="2160"/>
        </w:tabs>
        <w:ind w:left="2160" w:hanging="360"/>
      </w:pPr>
      <w:rPr>
        <w:rFonts w:ascii="Wingdings 3" w:hAnsi="Wingdings 3" w:hint="default"/>
      </w:rPr>
    </w:lvl>
    <w:lvl w:ilvl="3" w:tplc="0DA61964" w:tentative="1">
      <w:start w:val="1"/>
      <w:numFmt w:val="bullet"/>
      <w:lvlText w:val=""/>
      <w:lvlJc w:val="left"/>
      <w:pPr>
        <w:tabs>
          <w:tab w:val="num" w:pos="2880"/>
        </w:tabs>
        <w:ind w:left="2880" w:hanging="360"/>
      </w:pPr>
      <w:rPr>
        <w:rFonts w:ascii="Wingdings 3" w:hAnsi="Wingdings 3" w:hint="default"/>
      </w:rPr>
    </w:lvl>
    <w:lvl w:ilvl="4" w:tplc="600C0976" w:tentative="1">
      <w:start w:val="1"/>
      <w:numFmt w:val="bullet"/>
      <w:lvlText w:val=""/>
      <w:lvlJc w:val="left"/>
      <w:pPr>
        <w:tabs>
          <w:tab w:val="num" w:pos="3600"/>
        </w:tabs>
        <w:ind w:left="3600" w:hanging="360"/>
      </w:pPr>
      <w:rPr>
        <w:rFonts w:ascii="Wingdings 3" w:hAnsi="Wingdings 3" w:hint="default"/>
      </w:rPr>
    </w:lvl>
    <w:lvl w:ilvl="5" w:tplc="6D08668C" w:tentative="1">
      <w:start w:val="1"/>
      <w:numFmt w:val="bullet"/>
      <w:lvlText w:val=""/>
      <w:lvlJc w:val="left"/>
      <w:pPr>
        <w:tabs>
          <w:tab w:val="num" w:pos="4320"/>
        </w:tabs>
        <w:ind w:left="4320" w:hanging="360"/>
      </w:pPr>
      <w:rPr>
        <w:rFonts w:ascii="Wingdings 3" w:hAnsi="Wingdings 3" w:hint="default"/>
      </w:rPr>
    </w:lvl>
    <w:lvl w:ilvl="6" w:tplc="84902516" w:tentative="1">
      <w:start w:val="1"/>
      <w:numFmt w:val="bullet"/>
      <w:lvlText w:val=""/>
      <w:lvlJc w:val="left"/>
      <w:pPr>
        <w:tabs>
          <w:tab w:val="num" w:pos="5040"/>
        </w:tabs>
        <w:ind w:left="5040" w:hanging="360"/>
      </w:pPr>
      <w:rPr>
        <w:rFonts w:ascii="Wingdings 3" w:hAnsi="Wingdings 3" w:hint="default"/>
      </w:rPr>
    </w:lvl>
    <w:lvl w:ilvl="7" w:tplc="25CC5184" w:tentative="1">
      <w:start w:val="1"/>
      <w:numFmt w:val="bullet"/>
      <w:lvlText w:val=""/>
      <w:lvlJc w:val="left"/>
      <w:pPr>
        <w:tabs>
          <w:tab w:val="num" w:pos="5760"/>
        </w:tabs>
        <w:ind w:left="5760" w:hanging="360"/>
      </w:pPr>
      <w:rPr>
        <w:rFonts w:ascii="Wingdings 3" w:hAnsi="Wingdings 3" w:hint="default"/>
      </w:rPr>
    </w:lvl>
    <w:lvl w:ilvl="8" w:tplc="86667DCE" w:tentative="1">
      <w:start w:val="1"/>
      <w:numFmt w:val="bullet"/>
      <w:lvlText w:val=""/>
      <w:lvlJc w:val="left"/>
      <w:pPr>
        <w:tabs>
          <w:tab w:val="num" w:pos="6480"/>
        </w:tabs>
        <w:ind w:left="6480" w:hanging="360"/>
      </w:pPr>
      <w:rPr>
        <w:rFonts w:ascii="Wingdings 3" w:hAnsi="Wingdings 3" w:hint="default"/>
      </w:rPr>
    </w:lvl>
  </w:abstractNum>
  <w:abstractNum w:abstractNumId="13">
    <w:nsid w:val="5C527E28"/>
    <w:multiLevelType w:val="hybridMultilevel"/>
    <w:tmpl w:val="5DCE421C"/>
    <w:lvl w:ilvl="0" w:tplc="58F2C4DE">
      <w:start w:val="1"/>
      <w:numFmt w:val="bullet"/>
      <w:lvlText w:val=""/>
      <w:lvlJc w:val="left"/>
      <w:pPr>
        <w:tabs>
          <w:tab w:val="num" w:pos="720"/>
        </w:tabs>
        <w:ind w:left="720" w:hanging="360"/>
      </w:pPr>
      <w:rPr>
        <w:rFonts w:ascii="Wingdings 3" w:hAnsi="Wingdings 3" w:hint="default"/>
      </w:rPr>
    </w:lvl>
    <w:lvl w:ilvl="1" w:tplc="047C78FA">
      <w:start w:val="47"/>
      <w:numFmt w:val="bullet"/>
      <w:lvlText w:val=""/>
      <w:lvlJc w:val="left"/>
      <w:pPr>
        <w:tabs>
          <w:tab w:val="num" w:pos="1440"/>
        </w:tabs>
        <w:ind w:left="1440" w:hanging="360"/>
      </w:pPr>
      <w:rPr>
        <w:rFonts w:ascii="Wingdings 3" w:hAnsi="Wingdings 3" w:hint="default"/>
      </w:rPr>
    </w:lvl>
    <w:lvl w:ilvl="2" w:tplc="9A6800D0">
      <w:start w:val="47"/>
      <w:numFmt w:val="bullet"/>
      <w:lvlText w:val=""/>
      <w:lvlJc w:val="left"/>
      <w:pPr>
        <w:tabs>
          <w:tab w:val="num" w:pos="2160"/>
        </w:tabs>
        <w:ind w:left="2160" w:hanging="360"/>
      </w:pPr>
      <w:rPr>
        <w:rFonts w:ascii="Wingdings 3" w:hAnsi="Wingdings 3" w:hint="default"/>
      </w:rPr>
    </w:lvl>
    <w:lvl w:ilvl="3" w:tplc="ACF22B24" w:tentative="1">
      <w:start w:val="1"/>
      <w:numFmt w:val="bullet"/>
      <w:lvlText w:val=""/>
      <w:lvlJc w:val="left"/>
      <w:pPr>
        <w:tabs>
          <w:tab w:val="num" w:pos="2880"/>
        </w:tabs>
        <w:ind w:left="2880" w:hanging="360"/>
      </w:pPr>
      <w:rPr>
        <w:rFonts w:ascii="Wingdings 3" w:hAnsi="Wingdings 3" w:hint="default"/>
      </w:rPr>
    </w:lvl>
    <w:lvl w:ilvl="4" w:tplc="4B962042" w:tentative="1">
      <w:start w:val="1"/>
      <w:numFmt w:val="bullet"/>
      <w:lvlText w:val=""/>
      <w:lvlJc w:val="left"/>
      <w:pPr>
        <w:tabs>
          <w:tab w:val="num" w:pos="3600"/>
        </w:tabs>
        <w:ind w:left="3600" w:hanging="360"/>
      </w:pPr>
      <w:rPr>
        <w:rFonts w:ascii="Wingdings 3" w:hAnsi="Wingdings 3" w:hint="default"/>
      </w:rPr>
    </w:lvl>
    <w:lvl w:ilvl="5" w:tplc="CD4C526E" w:tentative="1">
      <w:start w:val="1"/>
      <w:numFmt w:val="bullet"/>
      <w:lvlText w:val=""/>
      <w:lvlJc w:val="left"/>
      <w:pPr>
        <w:tabs>
          <w:tab w:val="num" w:pos="4320"/>
        </w:tabs>
        <w:ind w:left="4320" w:hanging="360"/>
      </w:pPr>
      <w:rPr>
        <w:rFonts w:ascii="Wingdings 3" w:hAnsi="Wingdings 3" w:hint="default"/>
      </w:rPr>
    </w:lvl>
    <w:lvl w:ilvl="6" w:tplc="DA7E8E98" w:tentative="1">
      <w:start w:val="1"/>
      <w:numFmt w:val="bullet"/>
      <w:lvlText w:val=""/>
      <w:lvlJc w:val="left"/>
      <w:pPr>
        <w:tabs>
          <w:tab w:val="num" w:pos="5040"/>
        </w:tabs>
        <w:ind w:left="5040" w:hanging="360"/>
      </w:pPr>
      <w:rPr>
        <w:rFonts w:ascii="Wingdings 3" w:hAnsi="Wingdings 3" w:hint="default"/>
      </w:rPr>
    </w:lvl>
    <w:lvl w:ilvl="7" w:tplc="C9E844D0" w:tentative="1">
      <w:start w:val="1"/>
      <w:numFmt w:val="bullet"/>
      <w:lvlText w:val=""/>
      <w:lvlJc w:val="left"/>
      <w:pPr>
        <w:tabs>
          <w:tab w:val="num" w:pos="5760"/>
        </w:tabs>
        <w:ind w:left="5760" w:hanging="360"/>
      </w:pPr>
      <w:rPr>
        <w:rFonts w:ascii="Wingdings 3" w:hAnsi="Wingdings 3" w:hint="default"/>
      </w:rPr>
    </w:lvl>
    <w:lvl w:ilvl="8" w:tplc="640A5A9E" w:tentative="1">
      <w:start w:val="1"/>
      <w:numFmt w:val="bullet"/>
      <w:lvlText w:val=""/>
      <w:lvlJc w:val="left"/>
      <w:pPr>
        <w:tabs>
          <w:tab w:val="num" w:pos="6480"/>
        </w:tabs>
        <w:ind w:left="6480" w:hanging="360"/>
      </w:pPr>
      <w:rPr>
        <w:rFonts w:ascii="Wingdings 3" w:hAnsi="Wingdings 3" w:hint="default"/>
      </w:rPr>
    </w:lvl>
  </w:abstractNum>
  <w:abstractNum w:abstractNumId="14">
    <w:nsid w:val="65385003"/>
    <w:multiLevelType w:val="hybridMultilevel"/>
    <w:tmpl w:val="B4DAB41A"/>
    <w:lvl w:ilvl="0" w:tplc="DC54174A">
      <w:start w:val="1"/>
      <w:numFmt w:val="bullet"/>
      <w:lvlText w:val=""/>
      <w:lvlJc w:val="left"/>
      <w:pPr>
        <w:tabs>
          <w:tab w:val="num" w:pos="720"/>
        </w:tabs>
        <w:ind w:left="720" w:hanging="360"/>
      </w:pPr>
      <w:rPr>
        <w:rFonts w:ascii="Wingdings 3" w:hAnsi="Wingdings 3" w:hint="default"/>
      </w:rPr>
    </w:lvl>
    <w:lvl w:ilvl="1" w:tplc="DCBEECD2" w:tentative="1">
      <w:start w:val="1"/>
      <w:numFmt w:val="bullet"/>
      <w:lvlText w:val=""/>
      <w:lvlJc w:val="left"/>
      <w:pPr>
        <w:tabs>
          <w:tab w:val="num" w:pos="1440"/>
        </w:tabs>
        <w:ind w:left="1440" w:hanging="360"/>
      </w:pPr>
      <w:rPr>
        <w:rFonts w:ascii="Wingdings 3" w:hAnsi="Wingdings 3" w:hint="default"/>
      </w:rPr>
    </w:lvl>
    <w:lvl w:ilvl="2" w:tplc="FA82D106">
      <w:start w:val="1"/>
      <w:numFmt w:val="bullet"/>
      <w:lvlText w:val=""/>
      <w:lvlJc w:val="left"/>
      <w:pPr>
        <w:tabs>
          <w:tab w:val="num" w:pos="2160"/>
        </w:tabs>
        <w:ind w:left="2160" w:hanging="360"/>
      </w:pPr>
      <w:rPr>
        <w:rFonts w:ascii="Wingdings 3" w:hAnsi="Wingdings 3" w:hint="default"/>
      </w:rPr>
    </w:lvl>
    <w:lvl w:ilvl="3" w:tplc="509AA5A2" w:tentative="1">
      <w:start w:val="1"/>
      <w:numFmt w:val="bullet"/>
      <w:lvlText w:val=""/>
      <w:lvlJc w:val="left"/>
      <w:pPr>
        <w:tabs>
          <w:tab w:val="num" w:pos="2880"/>
        </w:tabs>
        <w:ind w:left="2880" w:hanging="360"/>
      </w:pPr>
      <w:rPr>
        <w:rFonts w:ascii="Wingdings 3" w:hAnsi="Wingdings 3" w:hint="default"/>
      </w:rPr>
    </w:lvl>
    <w:lvl w:ilvl="4" w:tplc="AB6A9F36" w:tentative="1">
      <w:start w:val="1"/>
      <w:numFmt w:val="bullet"/>
      <w:lvlText w:val=""/>
      <w:lvlJc w:val="left"/>
      <w:pPr>
        <w:tabs>
          <w:tab w:val="num" w:pos="3600"/>
        </w:tabs>
        <w:ind w:left="3600" w:hanging="360"/>
      </w:pPr>
      <w:rPr>
        <w:rFonts w:ascii="Wingdings 3" w:hAnsi="Wingdings 3" w:hint="default"/>
      </w:rPr>
    </w:lvl>
    <w:lvl w:ilvl="5" w:tplc="672EDBA6" w:tentative="1">
      <w:start w:val="1"/>
      <w:numFmt w:val="bullet"/>
      <w:lvlText w:val=""/>
      <w:lvlJc w:val="left"/>
      <w:pPr>
        <w:tabs>
          <w:tab w:val="num" w:pos="4320"/>
        </w:tabs>
        <w:ind w:left="4320" w:hanging="360"/>
      </w:pPr>
      <w:rPr>
        <w:rFonts w:ascii="Wingdings 3" w:hAnsi="Wingdings 3" w:hint="default"/>
      </w:rPr>
    </w:lvl>
    <w:lvl w:ilvl="6" w:tplc="F926EA52" w:tentative="1">
      <w:start w:val="1"/>
      <w:numFmt w:val="bullet"/>
      <w:lvlText w:val=""/>
      <w:lvlJc w:val="left"/>
      <w:pPr>
        <w:tabs>
          <w:tab w:val="num" w:pos="5040"/>
        </w:tabs>
        <w:ind w:left="5040" w:hanging="360"/>
      </w:pPr>
      <w:rPr>
        <w:rFonts w:ascii="Wingdings 3" w:hAnsi="Wingdings 3" w:hint="default"/>
      </w:rPr>
    </w:lvl>
    <w:lvl w:ilvl="7" w:tplc="E0DE4CB2" w:tentative="1">
      <w:start w:val="1"/>
      <w:numFmt w:val="bullet"/>
      <w:lvlText w:val=""/>
      <w:lvlJc w:val="left"/>
      <w:pPr>
        <w:tabs>
          <w:tab w:val="num" w:pos="5760"/>
        </w:tabs>
        <w:ind w:left="5760" w:hanging="360"/>
      </w:pPr>
      <w:rPr>
        <w:rFonts w:ascii="Wingdings 3" w:hAnsi="Wingdings 3" w:hint="default"/>
      </w:rPr>
    </w:lvl>
    <w:lvl w:ilvl="8" w:tplc="C1DE1B14" w:tentative="1">
      <w:start w:val="1"/>
      <w:numFmt w:val="bullet"/>
      <w:lvlText w:val=""/>
      <w:lvlJc w:val="left"/>
      <w:pPr>
        <w:tabs>
          <w:tab w:val="num" w:pos="6480"/>
        </w:tabs>
        <w:ind w:left="6480" w:hanging="360"/>
      </w:pPr>
      <w:rPr>
        <w:rFonts w:ascii="Wingdings 3" w:hAnsi="Wingdings 3" w:hint="default"/>
      </w:rPr>
    </w:lvl>
  </w:abstractNum>
  <w:abstractNum w:abstractNumId="15">
    <w:nsid w:val="6A187540"/>
    <w:multiLevelType w:val="hybridMultilevel"/>
    <w:tmpl w:val="CBAE5C22"/>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FF1349D"/>
    <w:multiLevelType w:val="hybridMultilevel"/>
    <w:tmpl w:val="49AA8B9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3323FC"/>
    <w:multiLevelType w:val="hybridMultilevel"/>
    <w:tmpl w:val="FE6E4640"/>
    <w:lvl w:ilvl="0" w:tplc="58F2C4DE">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AF156E"/>
    <w:multiLevelType w:val="hybridMultilevel"/>
    <w:tmpl w:val="0D48DA74"/>
    <w:lvl w:ilvl="0" w:tplc="58F2C4DE">
      <w:start w:val="1"/>
      <w:numFmt w:val="bullet"/>
      <w:lvlText w:val=""/>
      <w:lvlJc w:val="left"/>
      <w:pPr>
        <w:ind w:left="915" w:hanging="360"/>
      </w:pPr>
      <w:rPr>
        <w:rFonts w:ascii="Wingdings 3" w:hAnsi="Wingdings 3" w:hint="default"/>
      </w:rPr>
    </w:lvl>
    <w:lvl w:ilvl="1" w:tplc="04100003" w:tentative="1">
      <w:start w:val="1"/>
      <w:numFmt w:val="bullet"/>
      <w:lvlText w:val="o"/>
      <w:lvlJc w:val="left"/>
      <w:pPr>
        <w:ind w:left="1635" w:hanging="360"/>
      </w:pPr>
      <w:rPr>
        <w:rFonts w:ascii="Courier New" w:hAnsi="Courier New" w:cs="Courier New" w:hint="default"/>
      </w:rPr>
    </w:lvl>
    <w:lvl w:ilvl="2" w:tplc="04100005">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num w:numId="1">
    <w:abstractNumId w:val="13"/>
  </w:num>
  <w:num w:numId="2">
    <w:abstractNumId w:val="0"/>
  </w:num>
  <w:num w:numId="3">
    <w:abstractNumId w:val="11"/>
  </w:num>
  <w:num w:numId="4">
    <w:abstractNumId w:val="17"/>
  </w:num>
  <w:num w:numId="5">
    <w:abstractNumId w:val="3"/>
  </w:num>
  <w:num w:numId="6">
    <w:abstractNumId w:val="10"/>
  </w:num>
  <w:num w:numId="7">
    <w:abstractNumId w:val="7"/>
  </w:num>
  <w:num w:numId="8">
    <w:abstractNumId w:val="4"/>
  </w:num>
  <w:num w:numId="9">
    <w:abstractNumId w:val="9"/>
  </w:num>
  <w:num w:numId="10">
    <w:abstractNumId w:val="12"/>
  </w:num>
  <w:num w:numId="11">
    <w:abstractNumId w:val="14"/>
  </w:num>
  <w:num w:numId="12">
    <w:abstractNumId w:val="8"/>
  </w:num>
  <w:num w:numId="13">
    <w:abstractNumId w:val="2"/>
  </w:num>
  <w:num w:numId="14">
    <w:abstractNumId w:val="5"/>
  </w:num>
  <w:num w:numId="15">
    <w:abstractNumId w:val="18"/>
  </w:num>
  <w:num w:numId="16">
    <w:abstractNumId w:val="15"/>
  </w:num>
  <w:num w:numId="17">
    <w:abstractNumId w:val="16"/>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4747D"/>
    <w:rsid w:val="00014B9D"/>
    <w:rsid w:val="000200F8"/>
    <w:rsid w:val="00051FDF"/>
    <w:rsid w:val="000577A3"/>
    <w:rsid w:val="000A0F96"/>
    <w:rsid w:val="000B1DE8"/>
    <w:rsid w:val="000E04D2"/>
    <w:rsid w:val="000F72F9"/>
    <w:rsid w:val="00130E0B"/>
    <w:rsid w:val="00132532"/>
    <w:rsid w:val="00146554"/>
    <w:rsid w:val="00164088"/>
    <w:rsid w:val="00183B03"/>
    <w:rsid w:val="00184163"/>
    <w:rsid w:val="001857E0"/>
    <w:rsid w:val="00185BDF"/>
    <w:rsid w:val="00195C91"/>
    <w:rsid w:val="001C2260"/>
    <w:rsid w:val="001F2099"/>
    <w:rsid w:val="00207D5A"/>
    <w:rsid w:val="00233D94"/>
    <w:rsid w:val="0029395E"/>
    <w:rsid w:val="002A081E"/>
    <w:rsid w:val="002A6610"/>
    <w:rsid w:val="002C3840"/>
    <w:rsid w:val="002D77DA"/>
    <w:rsid w:val="00314776"/>
    <w:rsid w:val="00323F8B"/>
    <w:rsid w:val="00353D75"/>
    <w:rsid w:val="003623AA"/>
    <w:rsid w:val="00373A0D"/>
    <w:rsid w:val="00385E7A"/>
    <w:rsid w:val="00397740"/>
    <w:rsid w:val="003B5FEC"/>
    <w:rsid w:val="003D0950"/>
    <w:rsid w:val="00434228"/>
    <w:rsid w:val="00472021"/>
    <w:rsid w:val="00480FB9"/>
    <w:rsid w:val="00490AFD"/>
    <w:rsid w:val="005032DF"/>
    <w:rsid w:val="00541D4F"/>
    <w:rsid w:val="005464C0"/>
    <w:rsid w:val="00547418"/>
    <w:rsid w:val="00547E2C"/>
    <w:rsid w:val="00552304"/>
    <w:rsid w:val="00565E03"/>
    <w:rsid w:val="005A7E30"/>
    <w:rsid w:val="005C368F"/>
    <w:rsid w:val="005C77A5"/>
    <w:rsid w:val="005D5D7B"/>
    <w:rsid w:val="006514BB"/>
    <w:rsid w:val="006749E5"/>
    <w:rsid w:val="006B742F"/>
    <w:rsid w:val="006E2A8B"/>
    <w:rsid w:val="006F2DF4"/>
    <w:rsid w:val="006F3ABB"/>
    <w:rsid w:val="007374CB"/>
    <w:rsid w:val="007471E1"/>
    <w:rsid w:val="00770F44"/>
    <w:rsid w:val="00794222"/>
    <w:rsid w:val="007A2169"/>
    <w:rsid w:val="007B0B68"/>
    <w:rsid w:val="007D6096"/>
    <w:rsid w:val="007E42F6"/>
    <w:rsid w:val="007F72A9"/>
    <w:rsid w:val="0081090A"/>
    <w:rsid w:val="0082540C"/>
    <w:rsid w:val="00826BB7"/>
    <w:rsid w:val="008456EF"/>
    <w:rsid w:val="008A430E"/>
    <w:rsid w:val="008B05A1"/>
    <w:rsid w:val="008C0872"/>
    <w:rsid w:val="008C509D"/>
    <w:rsid w:val="00900BFF"/>
    <w:rsid w:val="00907A7C"/>
    <w:rsid w:val="00911E34"/>
    <w:rsid w:val="00933681"/>
    <w:rsid w:val="00943567"/>
    <w:rsid w:val="00967960"/>
    <w:rsid w:val="009714CC"/>
    <w:rsid w:val="00996C23"/>
    <w:rsid w:val="009A4CB0"/>
    <w:rsid w:val="009B52F7"/>
    <w:rsid w:val="009C2ED7"/>
    <w:rsid w:val="009E64CE"/>
    <w:rsid w:val="009E6BCB"/>
    <w:rsid w:val="00A03D59"/>
    <w:rsid w:val="00A10079"/>
    <w:rsid w:val="00A6038F"/>
    <w:rsid w:val="00A66589"/>
    <w:rsid w:val="00A75DD1"/>
    <w:rsid w:val="00A95245"/>
    <w:rsid w:val="00AA0F9D"/>
    <w:rsid w:val="00AB2997"/>
    <w:rsid w:val="00AC03EC"/>
    <w:rsid w:val="00AD448B"/>
    <w:rsid w:val="00AD7AAA"/>
    <w:rsid w:val="00AE2B2C"/>
    <w:rsid w:val="00B02402"/>
    <w:rsid w:val="00B0692F"/>
    <w:rsid w:val="00B25727"/>
    <w:rsid w:val="00B4266B"/>
    <w:rsid w:val="00B54817"/>
    <w:rsid w:val="00B80220"/>
    <w:rsid w:val="00B974FF"/>
    <w:rsid w:val="00BA01C3"/>
    <w:rsid w:val="00BD777E"/>
    <w:rsid w:val="00C04A96"/>
    <w:rsid w:val="00C06D8D"/>
    <w:rsid w:val="00C267C9"/>
    <w:rsid w:val="00C27EB5"/>
    <w:rsid w:val="00C4747D"/>
    <w:rsid w:val="00C66BE9"/>
    <w:rsid w:val="00C74667"/>
    <w:rsid w:val="00C81E7A"/>
    <w:rsid w:val="00C9399A"/>
    <w:rsid w:val="00C9671A"/>
    <w:rsid w:val="00CA6910"/>
    <w:rsid w:val="00CC08F2"/>
    <w:rsid w:val="00CC2B82"/>
    <w:rsid w:val="00CC60DA"/>
    <w:rsid w:val="00CF2347"/>
    <w:rsid w:val="00D366A4"/>
    <w:rsid w:val="00D5204E"/>
    <w:rsid w:val="00D52DF9"/>
    <w:rsid w:val="00D631C5"/>
    <w:rsid w:val="00D7719D"/>
    <w:rsid w:val="00D803C2"/>
    <w:rsid w:val="00DC2D15"/>
    <w:rsid w:val="00DC6A16"/>
    <w:rsid w:val="00DC7A9D"/>
    <w:rsid w:val="00E01C04"/>
    <w:rsid w:val="00E0764D"/>
    <w:rsid w:val="00E125E3"/>
    <w:rsid w:val="00E3496B"/>
    <w:rsid w:val="00E358D7"/>
    <w:rsid w:val="00E50111"/>
    <w:rsid w:val="00E56253"/>
    <w:rsid w:val="00E646CB"/>
    <w:rsid w:val="00E67529"/>
    <w:rsid w:val="00E7545A"/>
    <w:rsid w:val="00EA3D70"/>
    <w:rsid w:val="00EC7D50"/>
    <w:rsid w:val="00ED6EC3"/>
    <w:rsid w:val="00EF4890"/>
    <w:rsid w:val="00EF67D1"/>
    <w:rsid w:val="00F03160"/>
    <w:rsid w:val="00F10468"/>
    <w:rsid w:val="00F52D09"/>
    <w:rsid w:val="00F645A1"/>
    <w:rsid w:val="00F67512"/>
    <w:rsid w:val="00F9661C"/>
    <w:rsid w:val="00FC716B"/>
    <w:rsid w:val="00FC725A"/>
    <w:rsid w:val="00FD0D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ttore 2 5"/>
        <o:r id="V:Rule2" type="connector" idref="#Connettore 2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9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7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47D"/>
  </w:style>
  <w:style w:type="paragraph" w:styleId="Pidipagina">
    <w:name w:val="footer"/>
    <w:basedOn w:val="Normale"/>
    <w:link w:val="PidipaginaCarattere"/>
    <w:uiPriority w:val="99"/>
    <w:unhideWhenUsed/>
    <w:rsid w:val="00C47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47D"/>
  </w:style>
  <w:style w:type="table" w:styleId="Grigliatabella">
    <w:name w:val="Table Grid"/>
    <w:basedOn w:val="Tabellanormale"/>
    <w:uiPriority w:val="59"/>
    <w:rsid w:val="00C47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C368F"/>
    <w:pPr>
      <w:ind w:left="720"/>
      <w:contextualSpacing/>
    </w:pPr>
  </w:style>
  <w:style w:type="paragraph" w:styleId="Testofumetto">
    <w:name w:val="Balloon Text"/>
    <w:basedOn w:val="Normale"/>
    <w:link w:val="TestofumettoCarattere"/>
    <w:uiPriority w:val="99"/>
    <w:semiHidden/>
    <w:unhideWhenUsed/>
    <w:rsid w:val="004720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0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5966946">
      <w:bodyDiv w:val="1"/>
      <w:marLeft w:val="0"/>
      <w:marRight w:val="0"/>
      <w:marTop w:val="0"/>
      <w:marBottom w:val="0"/>
      <w:divBdr>
        <w:top w:val="none" w:sz="0" w:space="0" w:color="auto"/>
        <w:left w:val="none" w:sz="0" w:space="0" w:color="auto"/>
        <w:bottom w:val="none" w:sz="0" w:space="0" w:color="auto"/>
        <w:right w:val="none" w:sz="0" w:space="0" w:color="auto"/>
      </w:divBdr>
      <w:divsChild>
        <w:div w:id="1032267025">
          <w:marLeft w:val="1800"/>
          <w:marRight w:val="0"/>
          <w:marTop w:val="200"/>
          <w:marBottom w:val="0"/>
          <w:divBdr>
            <w:top w:val="none" w:sz="0" w:space="0" w:color="auto"/>
            <w:left w:val="none" w:sz="0" w:space="0" w:color="auto"/>
            <w:bottom w:val="none" w:sz="0" w:space="0" w:color="auto"/>
            <w:right w:val="none" w:sz="0" w:space="0" w:color="auto"/>
          </w:divBdr>
        </w:div>
      </w:divsChild>
    </w:div>
    <w:div w:id="255870824">
      <w:bodyDiv w:val="1"/>
      <w:marLeft w:val="0"/>
      <w:marRight w:val="0"/>
      <w:marTop w:val="0"/>
      <w:marBottom w:val="0"/>
      <w:divBdr>
        <w:top w:val="none" w:sz="0" w:space="0" w:color="auto"/>
        <w:left w:val="none" w:sz="0" w:space="0" w:color="auto"/>
        <w:bottom w:val="none" w:sz="0" w:space="0" w:color="auto"/>
        <w:right w:val="none" w:sz="0" w:space="0" w:color="auto"/>
      </w:divBdr>
      <w:divsChild>
        <w:div w:id="1288319230">
          <w:marLeft w:val="1800"/>
          <w:marRight w:val="0"/>
          <w:marTop w:val="200"/>
          <w:marBottom w:val="0"/>
          <w:divBdr>
            <w:top w:val="none" w:sz="0" w:space="0" w:color="auto"/>
            <w:left w:val="none" w:sz="0" w:space="0" w:color="auto"/>
            <w:bottom w:val="none" w:sz="0" w:space="0" w:color="auto"/>
            <w:right w:val="none" w:sz="0" w:space="0" w:color="auto"/>
          </w:divBdr>
        </w:div>
      </w:divsChild>
    </w:div>
    <w:div w:id="608465929">
      <w:bodyDiv w:val="1"/>
      <w:marLeft w:val="0"/>
      <w:marRight w:val="0"/>
      <w:marTop w:val="0"/>
      <w:marBottom w:val="0"/>
      <w:divBdr>
        <w:top w:val="none" w:sz="0" w:space="0" w:color="auto"/>
        <w:left w:val="none" w:sz="0" w:space="0" w:color="auto"/>
        <w:bottom w:val="none" w:sz="0" w:space="0" w:color="auto"/>
        <w:right w:val="none" w:sz="0" w:space="0" w:color="auto"/>
      </w:divBdr>
    </w:div>
    <w:div w:id="634682152">
      <w:bodyDiv w:val="1"/>
      <w:marLeft w:val="0"/>
      <w:marRight w:val="0"/>
      <w:marTop w:val="0"/>
      <w:marBottom w:val="0"/>
      <w:divBdr>
        <w:top w:val="none" w:sz="0" w:space="0" w:color="auto"/>
        <w:left w:val="none" w:sz="0" w:space="0" w:color="auto"/>
        <w:bottom w:val="none" w:sz="0" w:space="0" w:color="auto"/>
        <w:right w:val="none" w:sz="0" w:space="0" w:color="auto"/>
      </w:divBdr>
      <w:divsChild>
        <w:div w:id="680819053">
          <w:marLeft w:val="547"/>
          <w:marRight w:val="0"/>
          <w:marTop w:val="200"/>
          <w:marBottom w:val="0"/>
          <w:divBdr>
            <w:top w:val="none" w:sz="0" w:space="0" w:color="auto"/>
            <w:left w:val="none" w:sz="0" w:space="0" w:color="auto"/>
            <w:bottom w:val="none" w:sz="0" w:space="0" w:color="auto"/>
            <w:right w:val="none" w:sz="0" w:space="0" w:color="auto"/>
          </w:divBdr>
        </w:div>
        <w:div w:id="1102610153">
          <w:marLeft w:val="1166"/>
          <w:marRight w:val="0"/>
          <w:marTop w:val="200"/>
          <w:marBottom w:val="0"/>
          <w:divBdr>
            <w:top w:val="none" w:sz="0" w:space="0" w:color="auto"/>
            <w:left w:val="none" w:sz="0" w:space="0" w:color="auto"/>
            <w:bottom w:val="none" w:sz="0" w:space="0" w:color="auto"/>
            <w:right w:val="none" w:sz="0" w:space="0" w:color="auto"/>
          </w:divBdr>
        </w:div>
        <w:div w:id="805977548">
          <w:marLeft w:val="1800"/>
          <w:marRight w:val="0"/>
          <w:marTop w:val="200"/>
          <w:marBottom w:val="0"/>
          <w:divBdr>
            <w:top w:val="none" w:sz="0" w:space="0" w:color="auto"/>
            <w:left w:val="none" w:sz="0" w:space="0" w:color="auto"/>
            <w:bottom w:val="none" w:sz="0" w:space="0" w:color="auto"/>
            <w:right w:val="none" w:sz="0" w:space="0" w:color="auto"/>
          </w:divBdr>
        </w:div>
        <w:div w:id="337656138">
          <w:marLeft w:val="1800"/>
          <w:marRight w:val="0"/>
          <w:marTop w:val="200"/>
          <w:marBottom w:val="0"/>
          <w:divBdr>
            <w:top w:val="none" w:sz="0" w:space="0" w:color="auto"/>
            <w:left w:val="none" w:sz="0" w:space="0" w:color="auto"/>
            <w:bottom w:val="none" w:sz="0" w:space="0" w:color="auto"/>
            <w:right w:val="none" w:sz="0" w:space="0" w:color="auto"/>
          </w:divBdr>
        </w:div>
        <w:div w:id="1105922423">
          <w:marLeft w:val="1166"/>
          <w:marRight w:val="0"/>
          <w:marTop w:val="200"/>
          <w:marBottom w:val="0"/>
          <w:divBdr>
            <w:top w:val="none" w:sz="0" w:space="0" w:color="auto"/>
            <w:left w:val="none" w:sz="0" w:space="0" w:color="auto"/>
            <w:bottom w:val="none" w:sz="0" w:space="0" w:color="auto"/>
            <w:right w:val="none" w:sz="0" w:space="0" w:color="auto"/>
          </w:divBdr>
        </w:div>
      </w:divsChild>
    </w:div>
    <w:div w:id="787508792">
      <w:bodyDiv w:val="1"/>
      <w:marLeft w:val="0"/>
      <w:marRight w:val="0"/>
      <w:marTop w:val="0"/>
      <w:marBottom w:val="0"/>
      <w:divBdr>
        <w:top w:val="none" w:sz="0" w:space="0" w:color="auto"/>
        <w:left w:val="none" w:sz="0" w:space="0" w:color="auto"/>
        <w:bottom w:val="none" w:sz="0" w:space="0" w:color="auto"/>
        <w:right w:val="none" w:sz="0" w:space="0" w:color="auto"/>
      </w:divBdr>
      <w:divsChild>
        <w:div w:id="1148401101">
          <w:marLeft w:val="1800"/>
          <w:marRight w:val="0"/>
          <w:marTop w:val="200"/>
          <w:marBottom w:val="0"/>
          <w:divBdr>
            <w:top w:val="none" w:sz="0" w:space="0" w:color="auto"/>
            <w:left w:val="none" w:sz="0" w:space="0" w:color="auto"/>
            <w:bottom w:val="none" w:sz="0" w:space="0" w:color="auto"/>
            <w:right w:val="none" w:sz="0" w:space="0" w:color="auto"/>
          </w:divBdr>
        </w:div>
        <w:div w:id="505755146">
          <w:marLeft w:val="1800"/>
          <w:marRight w:val="0"/>
          <w:marTop w:val="200"/>
          <w:marBottom w:val="0"/>
          <w:divBdr>
            <w:top w:val="none" w:sz="0" w:space="0" w:color="auto"/>
            <w:left w:val="none" w:sz="0" w:space="0" w:color="auto"/>
            <w:bottom w:val="none" w:sz="0" w:space="0" w:color="auto"/>
            <w:right w:val="none" w:sz="0" w:space="0" w:color="auto"/>
          </w:divBdr>
        </w:div>
      </w:divsChild>
    </w:div>
    <w:div w:id="1697270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1694">
          <w:marLeft w:val="1166"/>
          <w:marRight w:val="0"/>
          <w:marTop w:val="200"/>
          <w:marBottom w:val="0"/>
          <w:divBdr>
            <w:top w:val="none" w:sz="0" w:space="0" w:color="auto"/>
            <w:left w:val="none" w:sz="0" w:space="0" w:color="auto"/>
            <w:bottom w:val="none" w:sz="0" w:space="0" w:color="auto"/>
            <w:right w:val="none" w:sz="0" w:space="0" w:color="auto"/>
          </w:divBdr>
        </w:div>
        <w:div w:id="1061710691">
          <w:marLeft w:val="1166"/>
          <w:marRight w:val="0"/>
          <w:marTop w:val="200"/>
          <w:marBottom w:val="0"/>
          <w:divBdr>
            <w:top w:val="none" w:sz="0" w:space="0" w:color="auto"/>
            <w:left w:val="none" w:sz="0" w:space="0" w:color="auto"/>
            <w:bottom w:val="none" w:sz="0" w:space="0" w:color="auto"/>
            <w:right w:val="none" w:sz="0" w:space="0" w:color="auto"/>
          </w:divBdr>
        </w:div>
      </w:divsChild>
    </w:div>
    <w:div w:id="1857648152">
      <w:bodyDiv w:val="1"/>
      <w:marLeft w:val="0"/>
      <w:marRight w:val="0"/>
      <w:marTop w:val="0"/>
      <w:marBottom w:val="0"/>
      <w:divBdr>
        <w:top w:val="none" w:sz="0" w:space="0" w:color="auto"/>
        <w:left w:val="none" w:sz="0" w:space="0" w:color="auto"/>
        <w:bottom w:val="none" w:sz="0" w:space="0" w:color="auto"/>
        <w:right w:val="none" w:sz="0" w:space="0" w:color="auto"/>
      </w:divBdr>
      <w:divsChild>
        <w:div w:id="1172141578">
          <w:marLeft w:val="1800"/>
          <w:marRight w:val="0"/>
          <w:marTop w:val="200"/>
          <w:marBottom w:val="0"/>
          <w:divBdr>
            <w:top w:val="none" w:sz="0" w:space="0" w:color="auto"/>
            <w:left w:val="none" w:sz="0" w:space="0" w:color="auto"/>
            <w:bottom w:val="none" w:sz="0" w:space="0" w:color="auto"/>
            <w:right w:val="none" w:sz="0" w:space="0" w:color="auto"/>
          </w:divBdr>
        </w:div>
        <w:div w:id="1329943597">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7576-B51A-48A6-85ED-3FE7FEE1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2301</Words>
  <Characters>13119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Vannucci</dc:creator>
  <cp:keywords/>
  <dc:description/>
  <cp:lastModifiedBy> </cp:lastModifiedBy>
  <cp:revision>2</cp:revision>
  <dcterms:created xsi:type="dcterms:W3CDTF">2017-03-02T08:18:00Z</dcterms:created>
  <dcterms:modified xsi:type="dcterms:W3CDTF">2017-03-02T08:18:00Z</dcterms:modified>
</cp:coreProperties>
</file>