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F6" w:rsidRDefault="00DF57A3">
      <w:r w:rsidRPr="00DF57A3">
        <w:t>SCUOLA DI FORMAZIONE ALLA PROFESSIONE DI DOTTORE COMMERCIALISTA 2015-2016</w:t>
      </w:r>
    </w:p>
    <w:p w:rsidR="00DF57A3" w:rsidRPr="00DF57A3" w:rsidRDefault="00DF57A3" w:rsidP="00DF57A3">
      <w:r w:rsidRPr="00DF57A3">
        <w:t>FOCUS LE PASSIVITA’ E IL PATRIMONIO NETTO: RAPPRESENTAZIONE IN BILANCIO E CRITERI DI VALUTAZIONE</w:t>
      </w:r>
      <w:r w:rsidR="00E2688C">
        <w:t xml:space="preserve">   -   </w:t>
      </w:r>
      <w:r w:rsidRPr="00DF57A3">
        <w:t>5 NOVEMBRE 2015</w:t>
      </w:r>
    </w:p>
    <w:p w:rsidR="00DF57A3" w:rsidRDefault="00DF57A3" w:rsidP="00E2688C">
      <w:pPr>
        <w:ind w:left="5664" w:firstLine="708"/>
        <w:rPr>
          <w:b/>
          <w:bCs/>
        </w:rPr>
      </w:pPr>
      <w:bookmarkStart w:id="0" w:name="_GoBack"/>
      <w:r w:rsidRPr="00DF57A3">
        <w:rPr>
          <w:b/>
          <w:bCs/>
        </w:rPr>
        <w:t>Dottor Antonio Maria Checcarelli</w:t>
      </w:r>
    </w:p>
    <w:bookmarkEnd w:id="0"/>
    <w:p w:rsidR="00E2688C" w:rsidRPr="00B40742" w:rsidRDefault="00E2688C" w:rsidP="00E2688C">
      <w:pPr>
        <w:rPr>
          <w:b/>
        </w:rPr>
      </w:pPr>
      <w:r w:rsidRPr="00B40742">
        <w:rPr>
          <w:b/>
        </w:rPr>
        <w:t>ESERCITAZIONE PRATICA</w:t>
      </w:r>
      <w:r w:rsidR="00973B6F" w:rsidRPr="00B40742">
        <w:rPr>
          <w:b/>
        </w:rPr>
        <w:t xml:space="preserve"> : RILEVAZIONE IN BILANCIO DELLE S</w:t>
      </w:r>
      <w:r w:rsidR="00B40742" w:rsidRPr="00B40742">
        <w:rPr>
          <w:b/>
        </w:rPr>
        <w:t>E</w:t>
      </w:r>
      <w:r w:rsidR="00973B6F" w:rsidRPr="00B40742">
        <w:rPr>
          <w:b/>
        </w:rPr>
        <w:t>GUENTI CASISTICHE</w:t>
      </w:r>
    </w:p>
    <w:p w:rsidR="00435365" w:rsidRPr="00A07C23" w:rsidRDefault="00A07C23" w:rsidP="00E2688C">
      <w:pPr>
        <w:spacing w:after="0"/>
        <w:jc w:val="both"/>
      </w:pPr>
      <w:r w:rsidRPr="00A07C23">
        <w:t>La società ALFA al 31 dicembre dell’anno x presenta :</w:t>
      </w:r>
    </w:p>
    <w:p w:rsidR="00A07C23" w:rsidRPr="00A07C23" w:rsidRDefault="00A07C23" w:rsidP="00E2688C">
      <w:pPr>
        <w:spacing w:after="0"/>
        <w:jc w:val="both"/>
      </w:pPr>
      <w:r w:rsidRPr="00A07C23">
        <w:t xml:space="preserve"> 1- debiti verso fornitori entro esercizio successivo per 1.000 con cambiali a garanzia per 500;</w:t>
      </w:r>
    </w:p>
    <w:p w:rsidR="00A07C23" w:rsidRPr="00A07C23" w:rsidRDefault="00E2688C" w:rsidP="00E2688C">
      <w:pPr>
        <w:spacing w:after="0"/>
        <w:jc w:val="both"/>
      </w:pPr>
      <w:r>
        <w:t xml:space="preserve"> </w:t>
      </w:r>
      <w:r w:rsidR="00A07C23" w:rsidRPr="00A07C23">
        <w:t xml:space="preserve">2- debiti verso banche medio termine per 10.000, di cui quota a breve 1.000. </w:t>
      </w:r>
    </w:p>
    <w:p w:rsidR="00A07C23" w:rsidRPr="00A07C23" w:rsidRDefault="00A07C23" w:rsidP="00E2688C">
      <w:pPr>
        <w:spacing w:after="0"/>
        <w:jc w:val="both"/>
      </w:pPr>
      <w:r w:rsidRPr="00A07C23">
        <w:t xml:space="preserve"> 3- debiti verso banche medio termine per 20.000, di cui quota a breve 3.000. Mancato rispetto covenants e nuovi accordi contrattuali in corso.</w:t>
      </w:r>
    </w:p>
    <w:p w:rsidR="00A07C23" w:rsidRPr="00A07C23" w:rsidRDefault="00A07C23" w:rsidP="00E2688C">
      <w:pPr>
        <w:spacing w:after="0"/>
        <w:jc w:val="both"/>
      </w:pPr>
      <w:r w:rsidRPr="00A07C23">
        <w:t xml:space="preserve"> 4- debiti verso soci per finanziamenti:</w:t>
      </w:r>
    </w:p>
    <w:p w:rsidR="00435365" w:rsidRPr="00A07C23" w:rsidRDefault="00A07C23" w:rsidP="00E2688C">
      <w:pPr>
        <w:numPr>
          <w:ilvl w:val="0"/>
          <w:numId w:val="2"/>
        </w:numPr>
        <w:spacing w:after="0"/>
        <w:jc w:val="both"/>
      </w:pPr>
      <w:r w:rsidRPr="00A07C23">
        <w:t>2.000 infruttiferi; 3.000 fruttiferi.</w:t>
      </w:r>
    </w:p>
    <w:p w:rsidR="00A07C23" w:rsidRPr="00A07C23" w:rsidRDefault="00E2688C" w:rsidP="00E2688C">
      <w:pPr>
        <w:spacing w:after="0"/>
        <w:jc w:val="both"/>
      </w:pPr>
      <w:r>
        <w:t xml:space="preserve">   </w:t>
      </w:r>
      <w:r w:rsidR="00A07C23" w:rsidRPr="00A07C23">
        <w:t>5- apertura di credito per prefinanziamento 3.000, in relazione all’ottenimento di un mutuo decennale di 10.000;</w:t>
      </w:r>
    </w:p>
    <w:p w:rsidR="00A07C23" w:rsidRPr="00A07C23" w:rsidRDefault="00A07C23" w:rsidP="00E2688C">
      <w:pPr>
        <w:spacing w:after="0"/>
        <w:jc w:val="both"/>
      </w:pPr>
      <w:r w:rsidRPr="00A07C23">
        <w:t>6- prestito obbligazionario convertibile con rapporto di conversione di due obbligazioni ogni azione 20.000; spese emissione 1.200, durata anni 3</w:t>
      </w:r>
    </w:p>
    <w:p w:rsidR="00A07C23" w:rsidRPr="00A07C23" w:rsidRDefault="00A07C23" w:rsidP="00E2688C">
      <w:pPr>
        <w:spacing w:after="0"/>
        <w:jc w:val="both"/>
      </w:pPr>
      <w:r w:rsidRPr="00A07C23">
        <w:t>7- IRES a carico esercizio 5.000, acconti 2.000, ritenute 1.500;</w:t>
      </w:r>
    </w:p>
    <w:p w:rsidR="00A07C23" w:rsidRPr="00A07C23" w:rsidRDefault="00A07C23" w:rsidP="00E2688C">
      <w:pPr>
        <w:spacing w:after="0"/>
        <w:jc w:val="both"/>
      </w:pPr>
      <w:r w:rsidRPr="00A07C23">
        <w:t xml:space="preserve"> 8- IRAP a carico esercizio 9.500, acconti 10.000;</w:t>
      </w:r>
    </w:p>
    <w:p w:rsidR="00E2688C" w:rsidRDefault="00A07C23" w:rsidP="00E2688C">
      <w:pPr>
        <w:spacing w:after="0"/>
        <w:jc w:val="both"/>
      </w:pPr>
      <w:r w:rsidRPr="00A07C23">
        <w:t xml:space="preserve"> 9- debito per acquisto di un bene per 10.000 con interesse implicito di 3.000 e pagamento a tre anni;</w:t>
      </w:r>
    </w:p>
    <w:p w:rsidR="00A07C23" w:rsidRPr="00A07C23" w:rsidRDefault="00A07C23" w:rsidP="00E2688C">
      <w:pPr>
        <w:spacing w:after="0"/>
        <w:jc w:val="both"/>
      </w:pPr>
      <w:r w:rsidRPr="00A07C23">
        <w:t xml:space="preserve"> 10- finanziamento a tasso fisso con up-front pagata:</w:t>
      </w:r>
    </w:p>
    <w:p w:rsidR="00A07C23" w:rsidRPr="00A07C23" w:rsidRDefault="00A07C23" w:rsidP="00E2688C">
      <w:pPr>
        <w:numPr>
          <w:ilvl w:val="0"/>
          <w:numId w:val="2"/>
        </w:numPr>
        <w:spacing w:after="0"/>
        <w:jc w:val="both"/>
      </w:pPr>
      <w:r w:rsidRPr="00A07C23">
        <w:t xml:space="preserve">   Finanziamento ricevuto per € 1.000</w:t>
      </w:r>
    </w:p>
    <w:p w:rsidR="00A07C23" w:rsidRPr="00A07C23" w:rsidRDefault="00A07C23" w:rsidP="00E2688C">
      <w:pPr>
        <w:numPr>
          <w:ilvl w:val="0"/>
          <w:numId w:val="2"/>
        </w:numPr>
        <w:spacing w:after="0"/>
        <w:jc w:val="both"/>
      </w:pPr>
      <w:r w:rsidRPr="00A07C23">
        <w:t xml:space="preserve">   Scadenza bullet 5 anni</w:t>
      </w:r>
    </w:p>
    <w:p w:rsidR="00A07C23" w:rsidRPr="00A07C23" w:rsidRDefault="00A07C23" w:rsidP="00E2688C">
      <w:pPr>
        <w:numPr>
          <w:ilvl w:val="0"/>
          <w:numId w:val="2"/>
        </w:numPr>
        <w:spacing w:after="0"/>
        <w:jc w:val="both"/>
      </w:pPr>
      <w:r w:rsidRPr="00A07C23">
        <w:t xml:space="preserve">   Tasso contrattuale 5%</w:t>
      </w:r>
    </w:p>
    <w:p w:rsidR="00A07C23" w:rsidRPr="00A07C23" w:rsidRDefault="00A07C23" w:rsidP="00E2688C">
      <w:pPr>
        <w:numPr>
          <w:ilvl w:val="0"/>
          <w:numId w:val="2"/>
        </w:numPr>
        <w:spacing w:after="0"/>
        <w:jc w:val="both"/>
      </w:pPr>
      <w:r w:rsidRPr="00A07C23">
        <w:t xml:space="preserve">   Costi di transazione (commissione up-front pagata) 3%</w:t>
      </w:r>
    </w:p>
    <w:p w:rsidR="00A07C23" w:rsidRPr="00A07C23" w:rsidRDefault="00A07C23" w:rsidP="00E2688C">
      <w:pPr>
        <w:spacing w:after="0"/>
        <w:jc w:val="both"/>
      </w:pPr>
      <w:r w:rsidRPr="00A07C23">
        <w:t>11-Gli amministratori della società, nell’effettuare le scritture di assestamento al 31.12.X, stimano di dover effettuare uno stanziamento a fondo rischi di 25.000 per una causa in corso con un dipendente licenziato dalla medesima società. Nell’esercizio successivo (esercizio X+1), alla luce dell’evolversi della causa, i legali stimano l’importo da dover presumibilmente corrispondere al dipendente in Euro 20.000</w:t>
      </w:r>
    </w:p>
    <w:p w:rsidR="00A07C23" w:rsidRPr="00A07C23" w:rsidRDefault="00A07C23" w:rsidP="00E2688C">
      <w:pPr>
        <w:spacing w:after="0"/>
        <w:jc w:val="both"/>
      </w:pPr>
      <w:r w:rsidRPr="00A07C23">
        <w:t>12- i prodotti venduti sono assistiti da garanzia a fronte di eventuali difetti rilevati dai clienti nel primo anno dopo la vendita. L’impresa stima che:</w:t>
      </w:r>
    </w:p>
    <w:p w:rsidR="00A07C23" w:rsidRPr="00A07C23" w:rsidRDefault="00A07C23" w:rsidP="00E2688C">
      <w:pPr>
        <w:numPr>
          <w:ilvl w:val="0"/>
          <w:numId w:val="2"/>
        </w:numPr>
        <w:spacing w:after="0"/>
        <w:jc w:val="both"/>
      </w:pPr>
      <w:r w:rsidRPr="00A07C23">
        <w:t>a) se i danni sono lievi, i costi di garanzia da sostenere per ogni singolo prodotto ammontano a € 500;</w:t>
      </w:r>
    </w:p>
    <w:p w:rsidR="00A07C23" w:rsidRPr="00A07C23" w:rsidRDefault="00A07C23" w:rsidP="00E2688C">
      <w:pPr>
        <w:numPr>
          <w:ilvl w:val="0"/>
          <w:numId w:val="2"/>
        </w:numPr>
        <w:spacing w:after="0"/>
        <w:jc w:val="both"/>
      </w:pPr>
      <w:r w:rsidRPr="00A07C23">
        <w:t>b) se i danni sono gravi, i costi di garanzia da sostenere per ogni singolo prodotto ammontano a € 2.000.</w:t>
      </w:r>
    </w:p>
    <w:p w:rsidR="00A07C23" w:rsidRPr="00A07C23" w:rsidRDefault="00A07C23" w:rsidP="00E2688C">
      <w:pPr>
        <w:numPr>
          <w:ilvl w:val="0"/>
          <w:numId w:val="2"/>
        </w:numPr>
        <w:spacing w:after="0"/>
        <w:jc w:val="both"/>
      </w:pPr>
      <w:r w:rsidRPr="00A07C23">
        <w:t>Inoltre, sulla base dell’esperienza passata, la società sa che il 70% dei beni prodotti e venduti non presenta difetti, il 20% presenta difetti lievi, il 10% presenta gravi. I prodotti venduti nell’anno sono 1.000.</w:t>
      </w:r>
    </w:p>
    <w:p w:rsidR="00DF57A3" w:rsidRDefault="00DF57A3" w:rsidP="00E2688C">
      <w:pPr>
        <w:spacing w:after="0"/>
      </w:pPr>
    </w:p>
    <w:sectPr w:rsidR="00DF57A3" w:rsidSect="00070E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90988"/>
    <w:multiLevelType w:val="hybridMultilevel"/>
    <w:tmpl w:val="9AF2AB44"/>
    <w:lvl w:ilvl="0" w:tplc="F176C1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78A7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9CAE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5A78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E801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CC6C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1CA5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EE0D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D040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EEC7EC9"/>
    <w:multiLevelType w:val="hybridMultilevel"/>
    <w:tmpl w:val="6750F558"/>
    <w:lvl w:ilvl="0" w:tplc="BFE2F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D80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0CD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40A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D0E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40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FE7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1E1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4A2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F57A3"/>
    <w:rsid w:val="00070E69"/>
    <w:rsid w:val="001E098B"/>
    <w:rsid w:val="00435365"/>
    <w:rsid w:val="00973B6F"/>
    <w:rsid w:val="00A07C23"/>
    <w:rsid w:val="00B40742"/>
    <w:rsid w:val="00DF57A3"/>
    <w:rsid w:val="00E2688C"/>
    <w:rsid w:val="00EA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0E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7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7C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31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57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Serena</cp:lastModifiedBy>
  <cp:revision>2</cp:revision>
  <dcterms:created xsi:type="dcterms:W3CDTF">2015-10-19T07:26:00Z</dcterms:created>
  <dcterms:modified xsi:type="dcterms:W3CDTF">2015-10-19T07:26:00Z</dcterms:modified>
</cp:coreProperties>
</file>