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ED" w:rsidRDefault="000B34ED" w:rsidP="000B34ED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0B34ED" w:rsidRPr="00A71D8F" w:rsidRDefault="000B34ED" w:rsidP="000B34ED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RISTRUTTURAZIONE DELLE IMPRESE NELLE CRISI DA SOVRAINDEBITAMENTO</w:t>
      </w:r>
    </w:p>
    <w:p w:rsidR="000B34ED" w:rsidRDefault="000B34ED" w:rsidP="000B34ED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0B34ED" w:rsidRDefault="000B34ED" w:rsidP="000B34ED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4442" w:type="pct"/>
        <w:tblLook w:val="0000"/>
      </w:tblPr>
      <w:tblGrid>
        <w:gridCol w:w="4403"/>
        <w:gridCol w:w="4351"/>
      </w:tblGrid>
      <w:tr w:rsidR="000B34ED" w:rsidRPr="008B3F58" w:rsidTr="000B34ED">
        <w:trPr>
          <w:trHeight w:val="510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La di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agnosi e le cause delle crisi da </w:t>
            </w:r>
            <w:proofErr w:type="spellStart"/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sovra</w:t>
            </w: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indebitamento</w:t>
            </w:r>
            <w:proofErr w:type="spellEnd"/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Gli accordi negoziali extra concorsuali con singole banche e quelli con il ceto bancario</w:t>
            </w:r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Piano attestato, anche con modelli di piano e di attestazione</w:t>
            </w:r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Accordi di ristrutturazione del debito, anche con presentazione di modelli</w:t>
            </w:r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Concordato preventivo in continuità dell’impresa</w:t>
            </w:r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Lo strumento della </w:t>
            </w:r>
            <w:proofErr w:type="spellStart"/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newco</w:t>
            </w:r>
            <w:proofErr w:type="spellEnd"/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Le asseverazioni a supporto dei piani di ristrutturazione</w:t>
            </w:r>
          </w:p>
          <w:p w:rsidR="000B34ED" w:rsidRPr="00892E76" w:rsidRDefault="000B34ED" w:rsidP="00D80CDD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892E76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Aspetti contabili e fiscali dei vari modi di ristrutturazione, sia per l’impresa debitrice, che per quelle creditrici</w:t>
            </w:r>
          </w:p>
          <w:p w:rsidR="000B34ED" w:rsidRPr="00D12C05" w:rsidRDefault="000B34ED" w:rsidP="00D80CDD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0B34ED" w:rsidRPr="008B3F58" w:rsidTr="000B34ED">
        <w:trPr>
          <w:trHeight w:val="510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Onza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Pellegrino, Innocenti,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Bufaloni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Faina</w:t>
            </w:r>
          </w:p>
          <w:p w:rsidR="000B34ED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Coordinatore: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Bufaloni</w:t>
            </w:r>
            <w:proofErr w:type="spellEnd"/>
          </w:p>
        </w:tc>
      </w:tr>
      <w:tr w:rsidR="000B34ED" w:rsidRPr="008B3F58" w:rsidTr="000B34ED">
        <w:trPr>
          <w:trHeight w:val="510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ED" w:rsidRPr="008B3F58" w:rsidRDefault="000B34ED" w:rsidP="00D80CDD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0B34ED" w:rsidRPr="008B3F58" w:rsidTr="000B34ED">
        <w:trPr>
          <w:trHeight w:val="510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4ED" w:rsidRPr="008B3F58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10 Febbraio 2015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4ED" w:rsidRDefault="00697D07" w:rsidP="00697D07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09-11 </w:t>
            </w:r>
            <w:r>
              <w:t xml:space="preserve">  Ferruccio </w:t>
            </w:r>
            <w:proofErr w:type="spellStart"/>
            <w:r>
              <w:t>Bufaloni</w:t>
            </w:r>
            <w:proofErr w:type="spellEnd"/>
            <w:r>
              <w:t xml:space="preserve">  </w:t>
            </w:r>
            <w:r w:rsidRPr="00697D07">
              <w:rPr>
                <w:i/>
              </w:rPr>
              <w:t>Concordato Preventivo in continuità dell’impresa. Lo strumento della New. Co.</w:t>
            </w:r>
          </w:p>
        </w:tc>
      </w:tr>
      <w:tr w:rsidR="000B34ED" w:rsidRPr="008B3F58" w:rsidTr="000B34ED">
        <w:trPr>
          <w:trHeight w:val="510"/>
        </w:trPr>
        <w:tc>
          <w:tcPr>
            <w:tcW w:w="4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 w:rsidR="00697D07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 w:rsidR="00697D07">
              <w:t xml:space="preserve"> Angelo Pellegrino  </w:t>
            </w:r>
            <w:r w:rsidR="00697D07" w:rsidRPr="00697D07">
              <w:rPr>
                <w:i/>
              </w:rPr>
              <w:t>Piano attestato, anche con modelli di piano e di attestazione</w:t>
            </w:r>
          </w:p>
        </w:tc>
      </w:tr>
      <w:tr w:rsidR="000B34ED" w:rsidRPr="008B3F58" w:rsidTr="000B34ED">
        <w:trPr>
          <w:trHeight w:val="510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34ED" w:rsidRPr="008B3F58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17 Febbraio 2015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jc w:val="center"/>
              <w:rPr>
                <w:i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697D07">
              <w:rPr>
                <w:rFonts w:ascii="Calibri" w:eastAsia="Batang" w:hAnsi="Calibri" w:cs="Andalus"/>
                <w:b/>
                <w:i/>
                <w:color w:val="365F91"/>
              </w:rPr>
              <w:t>1</w:t>
            </w:r>
            <w:r w:rsidR="00697D07">
              <w:t xml:space="preserve">  Federica Innocenti </w:t>
            </w:r>
            <w:r w:rsidR="00697D07" w:rsidRPr="00F80C1F">
              <w:rPr>
                <w:i/>
              </w:rPr>
              <w:t xml:space="preserve"> Accordi di ristrutturazione del debito, anche con presentazione di modelli</w:t>
            </w:r>
          </w:p>
          <w:p w:rsidR="00697D07" w:rsidRPr="008B3F58" w:rsidRDefault="00697D07" w:rsidP="00D80CDD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 w:rsidRPr="00697D07"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>
              <w:t xml:space="preserve"> Maurizio </w:t>
            </w:r>
            <w:proofErr w:type="spellStart"/>
            <w:r>
              <w:t>Onza</w:t>
            </w:r>
            <w:proofErr w:type="spellEnd"/>
            <w:r>
              <w:t xml:space="preserve"> </w:t>
            </w:r>
            <w:r w:rsidRPr="00F80C1F">
              <w:rPr>
                <w:i/>
              </w:rPr>
              <w:t xml:space="preserve"> La diagnosi e le cause delle crisi da </w:t>
            </w:r>
            <w:proofErr w:type="spellStart"/>
            <w:r w:rsidRPr="00F80C1F">
              <w:rPr>
                <w:i/>
              </w:rPr>
              <w:t>sovraindebitamento</w:t>
            </w:r>
            <w:proofErr w:type="spellEnd"/>
            <w:r w:rsidRPr="00F80C1F">
              <w:rPr>
                <w:i/>
              </w:rPr>
              <w:t>. Gli accordi negoziali extra concorsuali con singole banche e quelli con il ceto bancario</w:t>
            </w:r>
          </w:p>
        </w:tc>
      </w:tr>
      <w:tr w:rsidR="000B34ED" w:rsidRPr="008B3F58" w:rsidTr="000B34ED">
        <w:trPr>
          <w:trHeight w:val="510"/>
        </w:trPr>
        <w:tc>
          <w:tcPr>
            <w:tcW w:w="4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697D07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 w:rsidR="00697D07">
              <w:t xml:space="preserve"> Eros  Faina </w:t>
            </w:r>
            <w:r w:rsidR="00697D07" w:rsidRPr="00F80C1F">
              <w:rPr>
                <w:i/>
              </w:rPr>
              <w:t xml:space="preserve"> Le asseverazioni a supporto dei piani di ristrutturazione. Aspetti contabili e fiscali dei vari modi di ristrutturazione, sia per l’impresa debitrice, che per quelle creditrici</w:t>
            </w:r>
          </w:p>
        </w:tc>
      </w:tr>
      <w:tr w:rsidR="000B34ED" w:rsidRPr="008B3F58" w:rsidTr="000B34ED">
        <w:trPr>
          <w:trHeight w:val="510"/>
        </w:trPr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ED" w:rsidRPr="008B3F58" w:rsidRDefault="000B34ED" w:rsidP="00D80CDD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4ED" w:rsidRDefault="000B34ED" w:rsidP="00D80CDD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10</w:t>
            </w:r>
          </w:p>
        </w:tc>
      </w:tr>
    </w:tbl>
    <w:p w:rsidR="00844204" w:rsidRDefault="00844204"/>
    <w:p w:rsidR="000B34ED" w:rsidRDefault="000B34ED"/>
    <w:sectPr w:rsidR="000B34ED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B34ED"/>
    <w:rsid w:val="000B34ED"/>
    <w:rsid w:val="001505E7"/>
    <w:rsid w:val="00176C57"/>
    <w:rsid w:val="001B7F84"/>
    <w:rsid w:val="00222CF4"/>
    <w:rsid w:val="002A7EBF"/>
    <w:rsid w:val="002D3021"/>
    <w:rsid w:val="00697D07"/>
    <w:rsid w:val="0076491A"/>
    <w:rsid w:val="00844204"/>
    <w:rsid w:val="00A3095E"/>
    <w:rsid w:val="00EF3AD2"/>
    <w:rsid w:val="00F54C57"/>
    <w:rsid w:val="00F7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3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> 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2015-01-13T14:00:00Z</dcterms:created>
  <dcterms:modified xsi:type="dcterms:W3CDTF">2015-02-03T08:18:00Z</dcterms:modified>
</cp:coreProperties>
</file>